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79834C" w14:textId="77777777" w:rsidR="00FD1C63" w:rsidRDefault="00FD1C63" w:rsidP="00FD1C63">
      <w:pPr>
        <w:pBdr>
          <w:bottom w:val="single" w:sz="12" w:space="4" w:color="DDDDDD"/>
        </w:pBdr>
        <w:shd w:val="clear" w:color="auto" w:fill="FFFFFF"/>
        <w:jc w:val="both"/>
        <w:outlineLvl w:val="2"/>
        <w:rPr>
          <w:rFonts w:eastAsia="Times New Roman" w:cstheme="minorHAnsi"/>
          <w:color w:val="1C75BC"/>
          <w:sz w:val="28"/>
          <w:szCs w:val="28"/>
          <w:lang w:eastAsia="en-GB"/>
        </w:rPr>
      </w:pPr>
      <w:bookmarkStart w:id="0" w:name="_Toc475009926"/>
      <w:r w:rsidRPr="00036611">
        <w:rPr>
          <w:rFonts w:eastAsia="Times New Roman" w:cstheme="minorHAnsi"/>
          <w:color w:val="1C75BC"/>
          <w:sz w:val="28"/>
          <w:szCs w:val="28"/>
          <w:lang w:eastAsia="en-GB"/>
        </w:rPr>
        <w:t>Proposed metadata for SDG indicator 3.8.1</w:t>
      </w:r>
      <w:bookmarkEnd w:id="0"/>
    </w:p>
    <w:p w14:paraId="28AED640" w14:textId="47C11C7C" w:rsidR="00681F7C" w:rsidRPr="00A242E3" w:rsidRDefault="00994FE1" w:rsidP="00FD1C63">
      <w:pPr>
        <w:pBdr>
          <w:bottom w:val="single" w:sz="12" w:space="4" w:color="DDDDDD"/>
        </w:pBdr>
        <w:shd w:val="clear" w:color="auto" w:fill="FFFFFF"/>
        <w:jc w:val="both"/>
        <w:outlineLvl w:val="2"/>
        <w:rPr>
          <w:rFonts w:eastAsia="Times New Roman" w:cstheme="minorHAnsi"/>
          <w:sz w:val="24"/>
          <w:szCs w:val="24"/>
          <w:lang w:eastAsia="en-GB"/>
        </w:rPr>
      </w:pPr>
      <w:r>
        <w:rPr>
          <w:rFonts w:eastAsia="Times New Roman" w:cstheme="minorHAnsi"/>
          <w:sz w:val="24"/>
          <w:szCs w:val="24"/>
          <w:lang w:eastAsia="en-GB"/>
        </w:rPr>
        <w:t>12</w:t>
      </w:r>
      <w:r w:rsidR="00CB1B95">
        <w:rPr>
          <w:rFonts w:eastAsia="Times New Roman" w:cstheme="minorHAnsi"/>
          <w:sz w:val="24"/>
          <w:szCs w:val="24"/>
          <w:lang w:eastAsia="en-GB"/>
        </w:rPr>
        <w:t xml:space="preserve"> December</w:t>
      </w:r>
      <w:r w:rsidR="00681F7C" w:rsidRPr="00A242E3">
        <w:rPr>
          <w:rFonts w:eastAsia="Times New Roman" w:cstheme="minorHAnsi"/>
          <w:sz w:val="24"/>
          <w:szCs w:val="24"/>
          <w:lang w:eastAsia="en-GB"/>
        </w:rPr>
        <w:t xml:space="preserve"> 2018</w:t>
      </w:r>
      <w:r w:rsidR="00961D6F">
        <w:rPr>
          <w:rFonts w:eastAsia="Times New Roman" w:cstheme="minorHAnsi"/>
          <w:sz w:val="24"/>
          <w:szCs w:val="24"/>
          <w:lang w:eastAsia="en-GB"/>
        </w:rPr>
        <w:t xml:space="preserve"> (post IAEG update)</w:t>
      </w:r>
    </w:p>
    <w:p w14:paraId="565E0E58" w14:textId="77777777" w:rsidR="0058556D" w:rsidRPr="006B1D15" w:rsidRDefault="00412D2F" w:rsidP="00D70AD9">
      <w:pPr>
        <w:shd w:val="clear" w:color="auto" w:fill="F5F5F5"/>
        <w:spacing w:after="0"/>
        <w:outlineLvl w:val="4"/>
        <w:rPr>
          <w:rFonts w:eastAsia="Times New Roman" w:cs="Times New Roman"/>
          <w:sz w:val="21"/>
          <w:szCs w:val="21"/>
          <w:lang w:eastAsia="en-GB"/>
        </w:rPr>
      </w:pPr>
      <w:r>
        <w:rPr>
          <w:rFonts w:eastAsia="Times New Roman" w:cs="Times New Roman"/>
          <w:sz w:val="21"/>
          <w:szCs w:val="21"/>
          <w:lang w:eastAsia="en-GB"/>
        </w:rPr>
        <w:t>Goal</w:t>
      </w:r>
      <w:r w:rsidRPr="006B1D15">
        <w:rPr>
          <w:rFonts w:eastAsia="Times New Roman" w:cs="Times New Roman"/>
          <w:sz w:val="21"/>
          <w:szCs w:val="21"/>
          <w:lang w:eastAsia="en-GB"/>
        </w:rPr>
        <w:t xml:space="preserve">: </w:t>
      </w:r>
      <w:r w:rsidR="00ED67A3">
        <w:rPr>
          <w:rFonts w:eastAsia="Times New Roman" w:cs="Times New Roman"/>
          <w:sz w:val="21"/>
          <w:szCs w:val="21"/>
          <w:lang w:eastAsia="en-GB"/>
        </w:rPr>
        <w:t xml:space="preserve">3. </w:t>
      </w:r>
      <w:r w:rsidRPr="006B1D15">
        <w:rPr>
          <w:rFonts w:eastAsia="Times New Roman" w:cs="Times New Roman"/>
          <w:sz w:val="21"/>
          <w:szCs w:val="21"/>
          <w:lang w:eastAsia="en-GB"/>
        </w:rPr>
        <w:t>Ensure healthy lives and promote well-being for all at all ages</w:t>
      </w:r>
    </w:p>
    <w:p w14:paraId="71592F8A" w14:textId="77777777" w:rsidR="003F7918" w:rsidRDefault="003F7918" w:rsidP="00D70AD9">
      <w:pPr>
        <w:shd w:val="clear" w:color="auto" w:fill="F5F5F5"/>
        <w:spacing w:after="0"/>
        <w:outlineLvl w:val="4"/>
        <w:rPr>
          <w:rFonts w:eastAsia="Times New Roman" w:cs="Times New Roman"/>
          <w:sz w:val="21"/>
          <w:szCs w:val="21"/>
          <w:lang w:eastAsia="en-GB"/>
        </w:rPr>
      </w:pPr>
    </w:p>
    <w:p w14:paraId="0581BEB7" w14:textId="77777777" w:rsidR="0058556D" w:rsidRPr="006B1D15" w:rsidRDefault="0058556D" w:rsidP="00D70AD9">
      <w:pPr>
        <w:shd w:val="clear" w:color="auto" w:fill="F5F5F5"/>
        <w:spacing w:after="0"/>
        <w:outlineLvl w:val="4"/>
        <w:rPr>
          <w:rFonts w:eastAsia="Times New Roman" w:cs="Times New Roman"/>
          <w:sz w:val="21"/>
          <w:szCs w:val="21"/>
          <w:lang w:eastAsia="en-GB"/>
        </w:rPr>
      </w:pPr>
      <w:r w:rsidRPr="006B1D15">
        <w:rPr>
          <w:rFonts w:eastAsia="Times New Roman" w:cs="Times New Roman"/>
          <w:sz w:val="21"/>
          <w:szCs w:val="21"/>
          <w:lang w:eastAsia="en-GB"/>
        </w:rPr>
        <w:t xml:space="preserve">Target: </w:t>
      </w:r>
      <w:r w:rsidR="00ED67A3">
        <w:rPr>
          <w:rFonts w:eastAsia="Times New Roman" w:cs="Times New Roman"/>
          <w:sz w:val="21"/>
          <w:szCs w:val="21"/>
          <w:lang w:eastAsia="en-GB"/>
        </w:rPr>
        <w:t xml:space="preserve">3.8 </w:t>
      </w:r>
      <w:r w:rsidR="00AB7E07" w:rsidRPr="006B1D15">
        <w:rPr>
          <w:rFonts w:eastAsia="Times New Roman" w:cs="Times New Roman"/>
          <w:sz w:val="21"/>
          <w:szCs w:val="21"/>
          <w:lang w:eastAsia="en-GB"/>
        </w:rPr>
        <w:t>Achieve universal health coverage, including financial risk protection, access to quality essential health-care services and access to safe, effective, quality and affordable essential</w:t>
      </w:r>
      <w:r w:rsidR="006B1D15" w:rsidRPr="006B1D15">
        <w:rPr>
          <w:rFonts w:eastAsia="Times New Roman" w:cs="Times New Roman"/>
          <w:sz w:val="21"/>
          <w:szCs w:val="21"/>
          <w:lang w:eastAsia="en-GB"/>
        </w:rPr>
        <w:t xml:space="preserve"> medicines and vaccines for all</w:t>
      </w:r>
      <w:r w:rsidR="00681F7C">
        <w:rPr>
          <w:rFonts w:eastAsia="Times New Roman" w:cs="Times New Roman"/>
          <w:sz w:val="21"/>
          <w:szCs w:val="21"/>
          <w:lang w:eastAsia="en-GB"/>
        </w:rPr>
        <w:t>.</w:t>
      </w:r>
    </w:p>
    <w:p w14:paraId="5D7E3670" w14:textId="77777777" w:rsidR="003F7918" w:rsidRDefault="003F7918" w:rsidP="00573631">
      <w:pPr>
        <w:shd w:val="clear" w:color="auto" w:fill="F5F5F5"/>
        <w:spacing w:after="0"/>
        <w:outlineLvl w:val="1"/>
        <w:rPr>
          <w:rFonts w:eastAsia="Times New Roman" w:cs="Times New Roman"/>
          <w:color w:val="0070C0"/>
          <w:lang w:eastAsia="en-GB"/>
        </w:rPr>
      </w:pPr>
    </w:p>
    <w:p w14:paraId="4DFB5D39" w14:textId="176AF259" w:rsidR="00681F7C" w:rsidRPr="00681F7C" w:rsidRDefault="006B1D15" w:rsidP="00681F7C">
      <w:pPr>
        <w:pStyle w:val="Default"/>
        <w:spacing w:after="100" w:afterAutospacing="1"/>
        <w:rPr>
          <w:rFonts w:ascii="Calibri" w:hAnsi="Calibri" w:cs="Calibri"/>
          <w:sz w:val="20"/>
          <w:szCs w:val="20"/>
        </w:rPr>
      </w:pPr>
      <w:r w:rsidRPr="00681F7C">
        <w:rPr>
          <w:rFonts w:ascii="Calibri" w:eastAsia="Times New Roman" w:hAnsi="Calibri" w:cs="Calibri"/>
          <w:color w:val="0070C0"/>
          <w:lang w:eastAsia="en-GB"/>
        </w:rPr>
        <w:t>Indicator</w:t>
      </w:r>
      <w:r w:rsidR="00AB7E07" w:rsidRPr="00681F7C">
        <w:rPr>
          <w:rFonts w:ascii="Calibri" w:eastAsia="Times New Roman" w:hAnsi="Calibri" w:cs="Calibri"/>
          <w:color w:val="0070C0"/>
          <w:lang w:eastAsia="en-GB"/>
        </w:rPr>
        <w:t xml:space="preserve"> 3.8.1: </w:t>
      </w:r>
      <w:r w:rsidR="00681F7C" w:rsidRPr="00681F7C">
        <w:rPr>
          <w:rFonts w:ascii="Calibri" w:eastAsia="Times New Roman" w:hAnsi="Calibri" w:cs="Calibri"/>
          <w:sz w:val="22"/>
          <w:szCs w:val="22"/>
          <w:lang w:val="en-GB"/>
        </w:rPr>
        <w:t>Coverage of essential health services (defined as the average coverage of essential services based on tracer interventions that include</w:t>
      </w:r>
      <w:r w:rsidR="005F44AC">
        <w:rPr>
          <w:rFonts w:ascii="Calibri" w:eastAsia="Times New Roman" w:hAnsi="Calibri" w:cs="Calibri"/>
          <w:sz w:val="22"/>
          <w:szCs w:val="22"/>
          <w:lang w:val="en-GB"/>
        </w:rPr>
        <w:t xml:space="preserve"> promotion, prevention, treatment, rehabilitation and palliation</w:t>
      </w:r>
      <w:r w:rsidR="00681F7C">
        <w:rPr>
          <w:rFonts w:ascii="Calibri" w:eastAsia="Times New Roman" w:hAnsi="Calibri" w:cs="Calibri"/>
          <w:sz w:val="22"/>
          <w:szCs w:val="22"/>
          <w:lang w:val="en-GB"/>
        </w:rPr>
        <w:t>).</w:t>
      </w:r>
      <w:r w:rsidR="00B34031">
        <w:rPr>
          <w:rFonts w:ascii="Calibri" w:eastAsia="Times New Roman" w:hAnsi="Calibri" w:cs="Calibri"/>
          <w:sz w:val="22"/>
          <w:szCs w:val="22"/>
          <w:lang w:val="en-GB"/>
        </w:rPr>
        <w:t xml:space="preserve">  </w:t>
      </w:r>
    </w:p>
    <w:p w14:paraId="3F343B2F" w14:textId="77777777" w:rsidR="0058556D" w:rsidRPr="00681F7C" w:rsidRDefault="0058556D" w:rsidP="0079559E">
      <w:pPr>
        <w:shd w:val="clear" w:color="auto" w:fill="F5F5F5"/>
        <w:spacing w:after="0"/>
        <w:outlineLvl w:val="1"/>
        <w:rPr>
          <w:rFonts w:eastAsia="Times New Roman" w:cs="Times New Roman"/>
          <w:color w:val="0070C0"/>
          <w:lang w:val="en-US" w:eastAsia="en-GB"/>
        </w:rPr>
      </w:pPr>
    </w:p>
    <w:p w14:paraId="51CF4DFE" w14:textId="77777777" w:rsidR="00036611" w:rsidRPr="00036611" w:rsidRDefault="00036611" w:rsidP="00573631">
      <w:pPr>
        <w:pBdr>
          <w:bottom w:val="single" w:sz="12" w:space="4" w:color="DDDDDD"/>
        </w:pBdr>
        <w:shd w:val="clear" w:color="auto" w:fill="FFFFFF"/>
        <w:spacing w:after="0"/>
        <w:outlineLvl w:val="2"/>
        <w:rPr>
          <w:rFonts w:eastAsia="Times New Roman" w:cs="Times New Roman"/>
          <w:color w:val="1C75BC"/>
          <w:sz w:val="21"/>
          <w:szCs w:val="21"/>
          <w:lang w:eastAsia="en-GB"/>
        </w:rPr>
      </w:pPr>
    </w:p>
    <w:p w14:paraId="18EFF3E6" w14:textId="77777777" w:rsidR="0058556D" w:rsidRPr="00573631" w:rsidRDefault="0058556D" w:rsidP="00573631">
      <w:pPr>
        <w:pBdr>
          <w:bottom w:val="single" w:sz="12" w:space="4" w:color="DDDDDD"/>
        </w:pBdr>
        <w:shd w:val="clear" w:color="auto" w:fill="FFFFFF"/>
        <w:spacing w:after="0"/>
        <w:outlineLvl w:val="2"/>
        <w:rPr>
          <w:rFonts w:eastAsia="Times New Roman" w:cs="Times New Roman"/>
          <w:color w:val="1C75BC"/>
          <w:sz w:val="36"/>
          <w:szCs w:val="36"/>
          <w:lang w:eastAsia="en-GB"/>
        </w:rPr>
      </w:pPr>
      <w:r w:rsidRPr="00573631">
        <w:rPr>
          <w:rFonts w:eastAsia="Times New Roman" w:cs="Times New Roman"/>
          <w:color w:val="1C75BC"/>
          <w:sz w:val="36"/>
          <w:szCs w:val="36"/>
          <w:lang w:eastAsia="en-GB"/>
        </w:rPr>
        <w:t>Institutional information</w:t>
      </w:r>
    </w:p>
    <w:p w14:paraId="486C843D" w14:textId="77777777" w:rsidR="0058556D" w:rsidRPr="00573631" w:rsidRDefault="0058556D" w:rsidP="00573631">
      <w:pPr>
        <w:shd w:val="clear" w:color="auto" w:fill="FFFFFF"/>
        <w:spacing w:after="0"/>
        <w:rPr>
          <w:rFonts w:eastAsia="Times New Roman" w:cs="Times New Roman"/>
          <w:b/>
          <w:bCs/>
          <w:color w:val="4A4A4A"/>
          <w:sz w:val="21"/>
          <w:szCs w:val="21"/>
          <w:lang w:eastAsia="en-GB"/>
        </w:rPr>
      </w:pPr>
    </w:p>
    <w:p w14:paraId="0619EF28" w14:textId="77777777" w:rsidR="0058556D" w:rsidRPr="00641D4D" w:rsidRDefault="0058556D" w:rsidP="00573631">
      <w:pPr>
        <w:shd w:val="clear" w:color="auto" w:fill="FFFFFF"/>
        <w:spacing w:after="0"/>
        <w:rPr>
          <w:rFonts w:eastAsia="Times New Roman" w:cs="Times New Roman"/>
          <w:sz w:val="21"/>
          <w:szCs w:val="21"/>
          <w:lang w:eastAsia="en-GB"/>
        </w:rPr>
      </w:pPr>
      <w:r w:rsidRPr="00641D4D">
        <w:rPr>
          <w:rFonts w:eastAsia="Times New Roman" w:cs="Times New Roman"/>
          <w:b/>
          <w:bCs/>
          <w:sz w:val="21"/>
          <w:szCs w:val="21"/>
          <w:lang w:eastAsia="en-GB"/>
        </w:rPr>
        <w:t>Organization(s):</w:t>
      </w:r>
    </w:p>
    <w:p w14:paraId="2BF88096" w14:textId="77777777" w:rsidR="00AB7E07" w:rsidRPr="00641D4D" w:rsidRDefault="00AB7E07" w:rsidP="00AB7E07">
      <w:pPr>
        <w:shd w:val="clear" w:color="auto" w:fill="FFFFFF"/>
        <w:rPr>
          <w:rFonts w:cstheme="minorHAnsi"/>
          <w:smallCaps/>
          <w:sz w:val="21"/>
          <w:szCs w:val="21"/>
          <w:lang w:bidi="ar-EG"/>
        </w:rPr>
      </w:pPr>
      <w:r w:rsidRPr="00641D4D">
        <w:rPr>
          <w:rFonts w:eastAsia="Times New Roman" w:cstheme="minorHAnsi"/>
          <w:sz w:val="21"/>
          <w:szCs w:val="21"/>
          <w:lang w:eastAsia="en-GB"/>
        </w:rPr>
        <w:t>World Health Organization</w:t>
      </w:r>
      <w:r w:rsidR="006B1D15" w:rsidRPr="00641D4D">
        <w:rPr>
          <w:rFonts w:eastAsia="Times New Roman" w:cstheme="minorHAnsi"/>
          <w:sz w:val="21"/>
          <w:szCs w:val="21"/>
          <w:lang w:eastAsia="en-GB"/>
        </w:rPr>
        <w:t xml:space="preserve"> (WHO)</w:t>
      </w:r>
      <w:r w:rsidRPr="00641D4D">
        <w:rPr>
          <w:rFonts w:cstheme="minorHAnsi"/>
          <w:smallCaps/>
          <w:sz w:val="21"/>
          <w:szCs w:val="21"/>
          <w:lang w:bidi="ar-EG"/>
        </w:rPr>
        <w:t xml:space="preserve"> </w:t>
      </w:r>
    </w:p>
    <w:p w14:paraId="7769D707" w14:textId="77777777" w:rsidR="003F7918" w:rsidRDefault="003F7918" w:rsidP="00621893">
      <w:pPr>
        <w:shd w:val="clear" w:color="auto" w:fill="FFFFFF"/>
        <w:spacing w:after="0"/>
        <w:rPr>
          <w:rFonts w:eastAsia="Times New Roman" w:cs="Times New Roman"/>
          <w:b/>
          <w:bCs/>
          <w:sz w:val="21"/>
          <w:szCs w:val="21"/>
          <w:lang w:eastAsia="en-GB"/>
        </w:rPr>
      </w:pPr>
    </w:p>
    <w:p w14:paraId="326B0DE5" w14:textId="77777777" w:rsidR="00621893" w:rsidRPr="00641D4D" w:rsidRDefault="00621893" w:rsidP="00621893">
      <w:pPr>
        <w:shd w:val="clear" w:color="auto" w:fill="FFFFFF"/>
        <w:spacing w:after="0"/>
        <w:rPr>
          <w:rFonts w:eastAsia="Times New Roman" w:cs="Times New Roman"/>
          <w:b/>
          <w:bCs/>
          <w:sz w:val="21"/>
          <w:szCs w:val="21"/>
          <w:lang w:eastAsia="en-GB"/>
        </w:rPr>
      </w:pPr>
      <w:r w:rsidRPr="00641D4D">
        <w:rPr>
          <w:rFonts w:eastAsia="Times New Roman" w:cs="Times New Roman"/>
          <w:b/>
          <w:bCs/>
          <w:sz w:val="21"/>
          <w:szCs w:val="21"/>
          <w:lang w:eastAsia="en-GB"/>
        </w:rPr>
        <w:t>Contact person(s):</w:t>
      </w:r>
    </w:p>
    <w:p w14:paraId="5000E8D3" w14:textId="77777777" w:rsidR="00AB7E07" w:rsidRPr="00681F7C" w:rsidRDefault="00681F7C" w:rsidP="00681F7C">
      <w:pPr>
        <w:pStyle w:val="ListParagraph"/>
        <w:numPr>
          <w:ilvl w:val="0"/>
          <w:numId w:val="2"/>
        </w:numPr>
        <w:shd w:val="clear" w:color="auto" w:fill="FFFFFF"/>
        <w:spacing w:after="0"/>
        <w:rPr>
          <w:rFonts w:eastAsia="Times New Roman" w:cs="Times New Roman"/>
          <w:sz w:val="21"/>
          <w:szCs w:val="21"/>
          <w:lang w:val="fr-CH" w:eastAsia="en-GB"/>
        </w:rPr>
      </w:pPr>
      <w:r w:rsidRPr="00681F7C">
        <w:rPr>
          <w:rFonts w:eastAsia="Times New Roman" w:cs="Times New Roman"/>
          <w:sz w:val="21"/>
          <w:szCs w:val="21"/>
          <w:lang w:val="fr-CH" w:eastAsia="en-GB"/>
        </w:rPr>
        <w:t xml:space="preserve">Samira Asma </w:t>
      </w:r>
    </w:p>
    <w:p w14:paraId="4DF0D04D" w14:textId="77777777" w:rsidR="00681F7C" w:rsidRDefault="00727C87" w:rsidP="007C0C0B">
      <w:pPr>
        <w:pStyle w:val="ListParagraph"/>
        <w:numPr>
          <w:ilvl w:val="0"/>
          <w:numId w:val="2"/>
        </w:numPr>
        <w:shd w:val="clear" w:color="auto" w:fill="FFFFFF"/>
        <w:spacing w:after="0"/>
        <w:rPr>
          <w:rFonts w:eastAsia="Times New Roman" w:cs="Times New Roman"/>
          <w:sz w:val="21"/>
          <w:szCs w:val="21"/>
          <w:lang w:eastAsia="en-GB"/>
        </w:rPr>
      </w:pPr>
      <w:r>
        <w:rPr>
          <w:rFonts w:eastAsia="Times New Roman" w:cs="Times New Roman"/>
          <w:sz w:val="21"/>
          <w:szCs w:val="21"/>
          <w:lang w:eastAsia="en-GB"/>
        </w:rPr>
        <w:t>Somnath Chatterji</w:t>
      </w:r>
    </w:p>
    <w:p w14:paraId="2A73F829" w14:textId="77777777" w:rsidR="00681F7C" w:rsidRPr="00641D4D" w:rsidRDefault="00681F7C" w:rsidP="007C0C0B">
      <w:pPr>
        <w:pStyle w:val="ListParagraph"/>
        <w:numPr>
          <w:ilvl w:val="0"/>
          <w:numId w:val="2"/>
        </w:numPr>
        <w:shd w:val="clear" w:color="auto" w:fill="FFFFFF"/>
        <w:spacing w:after="0"/>
        <w:rPr>
          <w:rFonts w:eastAsia="Times New Roman" w:cs="Times New Roman"/>
          <w:sz w:val="21"/>
          <w:szCs w:val="21"/>
          <w:lang w:eastAsia="en-GB"/>
        </w:rPr>
      </w:pPr>
      <w:r>
        <w:rPr>
          <w:rFonts w:eastAsia="Times New Roman" w:cs="Times New Roman"/>
          <w:sz w:val="21"/>
          <w:szCs w:val="21"/>
          <w:lang w:eastAsia="en-GB"/>
        </w:rPr>
        <w:t xml:space="preserve">Rifat Hossain </w:t>
      </w:r>
    </w:p>
    <w:p w14:paraId="3E03FCBC" w14:textId="77777777" w:rsidR="00621893" w:rsidRDefault="00621893" w:rsidP="00621893">
      <w:pPr>
        <w:shd w:val="clear" w:color="auto" w:fill="FFFFFF"/>
        <w:spacing w:after="0"/>
        <w:rPr>
          <w:rFonts w:eastAsia="Times New Roman" w:cs="Times New Roman"/>
          <w:b/>
          <w:bCs/>
          <w:color w:val="4A4A4A"/>
          <w:sz w:val="21"/>
          <w:szCs w:val="21"/>
          <w:lang w:eastAsia="en-GB"/>
        </w:rPr>
      </w:pPr>
    </w:p>
    <w:p w14:paraId="3A0388D8" w14:textId="77777777" w:rsidR="00621893" w:rsidRPr="00573631" w:rsidRDefault="00621893" w:rsidP="00621893">
      <w:pPr>
        <w:shd w:val="clear" w:color="auto" w:fill="FFFFFF"/>
        <w:spacing w:after="0"/>
        <w:rPr>
          <w:rFonts w:eastAsia="Times New Roman" w:cs="Times New Roman"/>
          <w:color w:val="4A4A4A"/>
          <w:sz w:val="21"/>
          <w:szCs w:val="21"/>
          <w:lang w:eastAsia="en-GB"/>
        </w:rPr>
      </w:pPr>
      <w:r>
        <w:rPr>
          <w:rFonts w:eastAsia="Times New Roman" w:cs="Times New Roman"/>
          <w:b/>
          <w:bCs/>
          <w:color w:val="4A4A4A"/>
          <w:sz w:val="21"/>
          <w:szCs w:val="21"/>
          <w:lang w:eastAsia="en-GB"/>
        </w:rPr>
        <w:t>Email address (for internal use only)</w:t>
      </w:r>
    </w:p>
    <w:p w14:paraId="34A5AA6D" w14:textId="77777777" w:rsidR="003847EB" w:rsidRPr="00727C87" w:rsidRDefault="007F6EAE" w:rsidP="00032372">
      <w:pPr>
        <w:shd w:val="clear" w:color="auto" w:fill="FFFFFF"/>
        <w:spacing w:after="0"/>
        <w:rPr>
          <w:rFonts w:eastAsia="Times New Roman" w:cs="Times New Roman"/>
          <w:sz w:val="21"/>
          <w:szCs w:val="21"/>
          <w:lang w:eastAsia="en-GB"/>
        </w:rPr>
      </w:pPr>
      <w:hyperlink r:id="rId8" w:history="1">
        <w:r w:rsidR="003847EB" w:rsidRPr="00727C87">
          <w:rPr>
            <w:rStyle w:val="Hyperlink"/>
            <w:rFonts w:eastAsia="Times New Roman" w:cs="Times New Roman"/>
            <w:sz w:val="21"/>
            <w:szCs w:val="21"/>
            <w:lang w:eastAsia="en-GB"/>
          </w:rPr>
          <w:t>asmas@who.int</w:t>
        </w:r>
      </w:hyperlink>
      <w:r w:rsidR="003847EB" w:rsidRPr="00727C87">
        <w:rPr>
          <w:rFonts w:eastAsia="Times New Roman" w:cs="Times New Roman"/>
          <w:sz w:val="21"/>
          <w:szCs w:val="21"/>
          <w:lang w:eastAsia="en-GB"/>
        </w:rPr>
        <w:t xml:space="preserve"> </w:t>
      </w:r>
    </w:p>
    <w:p w14:paraId="5287D6E9" w14:textId="77777777" w:rsidR="003847EB" w:rsidRDefault="007F6EAE" w:rsidP="00032372">
      <w:pPr>
        <w:shd w:val="clear" w:color="auto" w:fill="FFFFFF"/>
        <w:spacing w:after="0"/>
      </w:pPr>
      <w:hyperlink r:id="rId9" w:history="1">
        <w:r w:rsidR="003847EB" w:rsidRPr="002A7EA5">
          <w:rPr>
            <w:rStyle w:val="Hyperlink"/>
          </w:rPr>
          <w:t>chatterjis@who.int</w:t>
        </w:r>
      </w:hyperlink>
      <w:r w:rsidR="003847EB">
        <w:t xml:space="preserve"> </w:t>
      </w:r>
    </w:p>
    <w:p w14:paraId="404C9524" w14:textId="77777777" w:rsidR="003847EB" w:rsidRDefault="007F6EAE" w:rsidP="00032372">
      <w:pPr>
        <w:shd w:val="clear" w:color="auto" w:fill="FFFFFF"/>
        <w:spacing w:after="0"/>
      </w:pPr>
      <w:hyperlink r:id="rId10" w:history="1">
        <w:r w:rsidR="003847EB" w:rsidRPr="002A7EA5">
          <w:rPr>
            <w:rStyle w:val="Hyperlink"/>
          </w:rPr>
          <w:t>hossainr@who.int</w:t>
        </w:r>
      </w:hyperlink>
    </w:p>
    <w:p w14:paraId="55026084" w14:textId="77777777" w:rsidR="00621893" w:rsidRPr="00573631" w:rsidRDefault="007F6EAE" w:rsidP="00032372">
      <w:pPr>
        <w:shd w:val="clear" w:color="auto" w:fill="FFFFFF"/>
        <w:spacing w:after="0"/>
        <w:rPr>
          <w:rFonts w:eastAsia="Times New Roman" w:cs="Times New Roman"/>
          <w:color w:val="4A4A4A"/>
          <w:sz w:val="21"/>
          <w:szCs w:val="21"/>
          <w:lang w:eastAsia="en-GB"/>
        </w:rPr>
      </w:pPr>
      <w:hyperlink r:id="rId11" w:history="1">
        <w:r w:rsidR="00032372" w:rsidRPr="00C11786">
          <w:rPr>
            <w:rStyle w:val="Hyperlink"/>
            <w:rFonts w:eastAsia="Times New Roman" w:cs="Times New Roman"/>
            <w:sz w:val="21"/>
            <w:szCs w:val="21"/>
            <w:lang w:eastAsia="en-GB"/>
          </w:rPr>
          <w:t>uhc_stats@who.int</w:t>
        </w:r>
      </w:hyperlink>
    </w:p>
    <w:p w14:paraId="573D8B02" w14:textId="77777777" w:rsidR="003F7918" w:rsidRDefault="003F7918" w:rsidP="00573631">
      <w:pPr>
        <w:pBdr>
          <w:bottom w:val="single" w:sz="12" w:space="4" w:color="DDDDDD"/>
        </w:pBdr>
        <w:shd w:val="clear" w:color="auto" w:fill="FFFFFF"/>
        <w:spacing w:after="0"/>
        <w:outlineLvl w:val="2"/>
        <w:rPr>
          <w:rFonts w:eastAsia="Times New Roman" w:cs="Times New Roman"/>
          <w:color w:val="1C75BC"/>
          <w:sz w:val="36"/>
          <w:szCs w:val="36"/>
          <w:lang w:eastAsia="en-GB"/>
        </w:rPr>
      </w:pPr>
    </w:p>
    <w:p w14:paraId="6F0AAA82" w14:textId="77777777" w:rsidR="0058556D" w:rsidRPr="00573631" w:rsidRDefault="0058556D" w:rsidP="00573631">
      <w:pPr>
        <w:pBdr>
          <w:bottom w:val="single" w:sz="12" w:space="4" w:color="DDDDDD"/>
        </w:pBdr>
        <w:shd w:val="clear" w:color="auto" w:fill="FFFFFF"/>
        <w:spacing w:after="0"/>
        <w:outlineLvl w:val="2"/>
        <w:rPr>
          <w:rFonts w:eastAsia="Times New Roman" w:cs="Times New Roman"/>
          <w:color w:val="1C75BC"/>
          <w:sz w:val="36"/>
          <w:szCs w:val="36"/>
          <w:lang w:eastAsia="en-GB"/>
        </w:rPr>
      </w:pPr>
      <w:r w:rsidRPr="00573631">
        <w:rPr>
          <w:rFonts w:eastAsia="Times New Roman" w:cs="Times New Roman"/>
          <w:color w:val="1C75BC"/>
          <w:sz w:val="36"/>
          <w:szCs w:val="36"/>
          <w:lang w:eastAsia="en-GB"/>
        </w:rPr>
        <w:t>Concepts and definitions</w:t>
      </w:r>
    </w:p>
    <w:p w14:paraId="073C34D1" w14:textId="77777777" w:rsidR="0058556D" w:rsidRPr="00573631" w:rsidRDefault="0058556D" w:rsidP="00573631">
      <w:pPr>
        <w:shd w:val="clear" w:color="auto" w:fill="FFFFFF"/>
        <w:spacing w:after="0"/>
        <w:rPr>
          <w:rFonts w:eastAsia="Times New Roman" w:cs="Times New Roman"/>
          <w:b/>
          <w:bCs/>
          <w:color w:val="4A4A4A"/>
          <w:sz w:val="21"/>
          <w:szCs w:val="21"/>
          <w:lang w:eastAsia="en-GB"/>
        </w:rPr>
      </w:pPr>
    </w:p>
    <w:p w14:paraId="2BC2E582" w14:textId="77777777" w:rsidR="0058556D" w:rsidRPr="00573631" w:rsidRDefault="0058556D" w:rsidP="00573631">
      <w:pPr>
        <w:shd w:val="clear" w:color="auto" w:fill="FFFFFF"/>
        <w:spacing w:after="0"/>
        <w:rPr>
          <w:rFonts w:eastAsia="Times New Roman" w:cs="Times New Roman"/>
          <w:color w:val="4A4A4A"/>
          <w:sz w:val="21"/>
          <w:szCs w:val="21"/>
          <w:lang w:eastAsia="en-GB"/>
        </w:rPr>
      </w:pPr>
      <w:r w:rsidRPr="00573631">
        <w:rPr>
          <w:rFonts w:eastAsia="Times New Roman" w:cs="Times New Roman"/>
          <w:b/>
          <w:bCs/>
          <w:color w:val="4A4A4A"/>
          <w:sz w:val="21"/>
          <w:szCs w:val="21"/>
          <w:lang w:eastAsia="en-GB"/>
        </w:rPr>
        <w:t>Definition:</w:t>
      </w:r>
    </w:p>
    <w:p w14:paraId="6EEB6CD0" w14:textId="5AFE89DC" w:rsidR="00EF0EC3" w:rsidRPr="00757482" w:rsidRDefault="00EF69A9" w:rsidP="001250A0">
      <w:pPr>
        <w:shd w:val="clear" w:color="auto" w:fill="FFFFFF"/>
        <w:spacing w:after="0"/>
        <w:rPr>
          <w:rFonts w:eastAsia="Times New Roman" w:cs="Times New Roman"/>
          <w:color w:val="4A4A4A"/>
          <w:sz w:val="21"/>
          <w:szCs w:val="21"/>
          <w:lang w:eastAsia="en-GB"/>
        </w:rPr>
      </w:pPr>
      <w:r w:rsidRPr="00EF69A9">
        <w:rPr>
          <w:sz w:val="21"/>
          <w:szCs w:val="21"/>
        </w:rPr>
        <w:t>Coverage of essential health services (</w:t>
      </w:r>
      <w:r w:rsidR="003847EB">
        <w:rPr>
          <w:sz w:val="21"/>
          <w:szCs w:val="21"/>
        </w:rPr>
        <w:t>i.e.</w:t>
      </w:r>
      <w:r w:rsidR="001250A0">
        <w:rPr>
          <w:sz w:val="21"/>
          <w:szCs w:val="21"/>
        </w:rPr>
        <w:t xml:space="preserve"> d</w:t>
      </w:r>
      <w:r w:rsidRPr="00EF69A9">
        <w:rPr>
          <w:sz w:val="21"/>
          <w:szCs w:val="21"/>
        </w:rPr>
        <w:t xml:space="preserve">efined as the health gain that is delivered to the population through a selection of essential services in comparison to the potential health </w:t>
      </w:r>
      <w:r w:rsidR="00B34031">
        <w:rPr>
          <w:sz w:val="21"/>
          <w:szCs w:val="21"/>
        </w:rPr>
        <w:t xml:space="preserve">gain </w:t>
      </w:r>
      <w:r w:rsidRPr="00EF69A9">
        <w:rPr>
          <w:sz w:val="21"/>
          <w:szCs w:val="21"/>
        </w:rPr>
        <w:t xml:space="preserve">that could be achieved through those services), </w:t>
      </w:r>
      <w:r w:rsidR="003847EB">
        <w:rPr>
          <w:sz w:val="21"/>
          <w:szCs w:val="21"/>
        </w:rPr>
        <w:t xml:space="preserve">ranging from promotion, prevention, treatment, rehabilitation to palliation, </w:t>
      </w:r>
      <w:r w:rsidRPr="00EF69A9">
        <w:rPr>
          <w:sz w:val="21"/>
          <w:szCs w:val="21"/>
        </w:rPr>
        <w:t>through the life-course, among the general and the</w:t>
      </w:r>
      <w:r>
        <w:rPr>
          <w:sz w:val="21"/>
          <w:szCs w:val="21"/>
        </w:rPr>
        <w:t xml:space="preserve"> </w:t>
      </w:r>
      <w:r w:rsidR="00681F7C">
        <w:rPr>
          <w:sz w:val="21"/>
          <w:szCs w:val="21"/>
        </w:rPr>
        <w:t>most disadvantaged population.  The UHC service coverage measure combine</w:t>
      </w:r>
      <w:r w:rsidR="00A242E3">
        <w:rPr>
          <w:sz w:val="21"/>
          <w:szCs w:val="21"/>
        </w:rPr>
        <w:t>s</w:t>
      </w:r>
      <w:r w:rsidR="00C208DF">
        <w:rPr>
          <w:sz w:val="21"/>
          <w:szCs w:val="21"/>
        </w:rPr>
        <w:t xml:space="preserve"> 39</w:t>
      </w:r>
      <w:r w:rsidR="00681F7C">
        <w:rPr>
          <w:sz w:val="21"/>
          <w:szCs w:val="21"/>
        </w:rPr>
        <w:t xml:space="preserve"> tracer indicators into an overall index</w:t>
      </w:r>
      <w:r w:rsidR="00681F7C" w:rsidRPr="00681F7C">
        <w:rPr>
          <w:sz w:val="21"/>
          <w:szCs w:val="21"/>
        </w:rPr>
        <w:t xml:space="preserve"> </w:t>
      </w:r>
      <w:r w:rsidR="00681F7C" w:rsidRPr="00757482">
        <w:rPr>
          <w:sz w:val="21"/>
          <w:szCs w:val="21"/>
        </w:rPr>
        <w:t>reported on a unit</w:t>
      </w:r>
      <w:r w:rsidR="00681F7C">
        <w:rPr>
          <w:sz w:val="21"/>
          <w:szCs w:val="21"/>
        </w:rPr>
        <w:t xml:space="preserve"> </w:t>
      </w:r>
      <w:r w:rsidR="00681F7C" w:rsidRPr="00757482">
        <w:rPr>
          <w:sz w:val="21"/>
          <w:szCs w:val="21"/>
        </w:rPr>
        <w:t>less scale of 0 to 100</w:t>
      </w:r>
      <w:r w:rsidR="00681F7C">
        <w:rPr>
          <w:sz w:val="21"/>
          <w:szCs w:val="21"/>
        </w:rPr>
        <w:t xml:space="preserve">.  </w:t>
      </w:r>
    </w:p>
    <w:p w14:paraId="58BA576E" w14:textId="566EAC6B" w:rsidR="0058556D" w:rsidRDefault="0058556D" w:rsidP="00573631">
      <w:pPr>
        <w:shd w:val="clear" w:color="auto" w:fill="FFFFFF"/>
        <w:spacing w:after="0"/>
        <w:rPr>
          <w:rFonts w:eastAsia="Times New Roman" w:cs="Times New Roman"/>
          <w:color w:val="4A4A4A"/>
          <w:sz w:val="21"/>
          <w:szCs w:val="21"/>
          <w:lang w:eastAsia="en-GB"/>
        </w:rPr>
      </w:pPr>
    </w:p>
    <w:p w14:paraId="6ED969DF" w14:textId="77777777" w:rsidR="00994FE1" w:rsidRPr="00573631" w:rsidRDefault="00994FE1" w:rsidP="00573631">
      <w:pPr>
        <w:shd w:val="clear" w:color="auto" w:fill="FFFFFF"/>
        <w:spacing w:after="0"/>
        <w:rPr>
          <w:rFonts w:eastAsia="Times New Roman" w:cs="Times New Roman"/>
          <w:color w:val="4A4A4A"/>
          <w:sz w:val="21"/>
          <w:szCs w:val="21"/>
          <w:lang w:eastAsia="en-GB"/>
        </w:rPr>
      </w:pPr>
    </w:p>
    <w:p w14:paraId="7FB8F824" w14:textId="77777777" w:rsidR="0058556D" w:rsidRPr="00573631" w:rsidRDefault="0058556D" w:rsidP="00573631">
      <w:pPr>
        <w:shd w:val="clear" w:color="auto" w:fill="FFFFFF"/>
        <w:spacing w:after="0"/>
        <w:rPr>
          <w:rFonts w:eastAsia="Times New Roman" w:cs="Times New Roman"/>
          <w:color w:val="4A4A4A"/>
          <w:sz w:val="21"/>
          <w:szCs w:val="21"/>
          <w:lang w:eastAsia="en-GB"/>
        </w:rPr>
      </w:pPr>
      <w:r w:rsidRPr="00573631">
        <w:rPr>
          <w:rFonts w:eastAsia="Times New Roman" w:cs="Times New Roman"/>
          <w:b/>
          <w:bCs/>
          <w:color w:val="4A4A4A"/>
          <w:sz w:val="21"/>
          <w:szCs w:val="21"/>
          <w:lang w:eastAsia="en-GB"/>
        </w:rPr>
        <w:lastRenderedPageBreak/>
        <w:t>Rationale:</w:t>
      </w:r>
    </w:p>
    <w:p w14:paraId="76146D78" w14:textId="1FB1F3B9" w:rsidR="0034718B" w:rsidRDefault="0034718B" w:rsidP="00DC2E89">
      <w:pPr>
        <w:shd w:val="clear" w:color="auto" w:fill="FFFFFF"/>
        <w:spacing w:after="0"/>
        <w:rPr>
          <w:rFonts w:eastAsia="Times New Roman" w:cs="Times New Roman"/>
          <w:sz w:val="21"/>
          <w:szCs w:val="21"/>
          <w:lang w:eastAsia="en-GB"/>
        </w:rPr>
      </w:pPr>
      <w:r w:rsidRPr="00CA7C0D">
        <w:rPr>
          <w:rFonts w:eastAsia="Times New Roman" w:cs="Times New Roman"/>
          <w:sz w:val="21"/>
          <w:szCs w:val="21"/>
          <w:lang w:eastAsia="en-GB"/>
        </w:rPr>
        <w:t xml:space="preserve">Target 3.8 is defined as </w:t>
      </w:r>
      <w:r w:rsidRPr="00681F7C">
        <w:rPr>
          <w:rFonts w:eastAsia="Times New Roman" w:cs="Times New Roman"/>
          <w:i/>
          <w:sz w:val="21"/>
          <w:szCs w:val="21"/>
          <w:lang w:eastAsia="en-GB"/>
        </w:rPr>
        <w:t>“Achieve universal health coverage, including financial risk protection, access to quality essential health-care services and access to safe, effective, quality and affordable essential medicines and vaccines for all”</w:t>
      </w:r>
      <w:r w:rsidRPr="00CA7C0D">
        <w:rPr>
          <w:rFonts w:eastAsia="Times New Roman" w:cs="Times New Roman"/>
          <w:sz w:val="21"/>
          <w:szCs w:val="21"/>
          <w:lang w:eastAsia="en-GB"/>
        </w:rPr>
        <w:t xml:space="preserve">.  The </w:t>
      </w:r>
      <w:r w:rsidR="00AD2B5C">
        <w:rPr>
          <w:rFonts w:eastAsia="Times New Roman" w:cs="Times New Roman"/>
          <w:sz w:val="21"/>
          <w:szCs w:val="21"/>
          <w:lang w:eastAsia="en-GB"/>
        </w:rPr>
        <w:t xml:space="preserve">aim </w:t>
      </w:r>
      <w:r w:rsidRPr="00CA7C0D">
        <w:rPr>
          <w:rFonts w:eastAsia="Times New Roman" w:cs="Times New Roman"/>
          <w:sz w:val="21"/>
          <w:szCs w:val="21"/>
          <w:lang w:eastAsia="en-GB"/>
        </w:rPr>
        <w:t xml:space="preserve">is </w:t>
      </w:r>
      <w:r w:rsidR="00AD2B5C">
        <w:rPr>
          <w:rFonts w:eastAsia="Times New Roman" w:cs="Times New Roman"/>
          <w:sz w:val="21"/>
          <w:szCs w:val="21"/>
          <w:lang w:eastAsia="en-GB"/>
        </w:rPr>
        <w:t xml:space="preserve">for </w:t>
      </w:r>
      <w:r w:rsidRPr="00CA7C0D">
        <w:rPr>
          <w:rFonts w:eastAsia="Times New Roman" w:cs="Times New Roman"/>
          <w:sz w:val="21"/>
          <w:szCs w:val="21"/>
          <w:lang w:eastAsia="en-GB"/>
        </w:rPr>
        <w:t xml:space="preserve">all people </w:t>
      </w:r>
      <w:r w:rsidR="00AD2B5C">
        <w:rPr>
          <w:rFonts w:eastAsia="Times New Roman" w:cs="Times New Roman"/>
          <w:sz w:val="21"/>
          <w:szCs w:val="21"/>
          <w:lang w:eastAsia="en-GB"/>
        </w:rPr>
        <w:t>to receive</w:t>
      </w:r>
      <w:r w:rsidRPr="00CA7C0D">
        <w:rPr>
          <w:rFonts w:eastAsia="Times New Roman" w:cs="Times New Roman"/>
          <w:sz w:val="21"/>
          <w:szCs w:val="21"/>
          <w:lang w:eastAsia="en-GB"/>
        </w:rPr>
        <w:t xml:space="preserve"> the health services they need without </w:t>
      </w:r>
      <w:r w:rsidR="00681F7C">
        <w:rPr>
          <w:rFonts w:eastAsia="Times New Roman" w:cs="Times New Roman"/>
          <w:sz w:val="21"/>
          <w:szCs w:val="21"/>
          <w:lang w:eastAsia="en-GB"/>
        </w:rPr>
        <w:t xml:space="preserve">financial hardship.  </w:t>
      </w:r>
      <w:r w:rsidRPr="00CA7C0D">
        <w:rPr>
          <w:rFonts w:eastAsia="Times New Roman" w:cs="Times New Roman"/>
          <w:sz w:val="21"/>
          <w:szCs w:val="21"/>
          <w:lang w:eastAsia="en-GB"/>
        </w:rPr>
        <w:t xml:space="preserve">Two indicators have been chosen to monitor </w:t>
      </w:r>
      <w:r w:rsidR="00EB03F6">
        <w:rPr>
          <w:rFonts w:eastAsia="Times New Roman" w:cs="Times New Roman"/>
          <w:sz w:val="21"/>
          <w:szCs w:val="21"/>
          <w:lang w:eastAsia="en-GB"/>
        </w:rPr>
        <w:t xml:space="preserve">progress towards the </w:t>
      </w:r>
      <w:r w:rsidRPr="00CA7C0D">
        <w:rPr>
          <w:rFonts w:eastAsia="Times New Roman" w:cs="Times New Roman"/>
          <w:sz w:val="21"/>
          <w:szCs w:val="21"/>
          <w:lang w:eastAsia="en-GB"/>
        </w:rPr>
        <w:t xml:space="preserve">target 3.8. </w:t>
      </w:r>
      <w:r w:rsidR="00681F7C">
        <w:rPr>
          <w:rFonts w:eastAsia="Times New Roman" w:cs="Times New Roman"/>
          <w:sz w:val="21"/>
          <w:szCs w:val="21"/>
          <w:lang w:eastAsia="en-GB"/>
        </w:rPr>
        <w:t xml:space="preserve"> </w:t>
      </w:r>
      <w:r w:rsidRPr="00CA7C0D">
        <w:rPr>
          <w:rFonts w:eastAsia="Times New Roman" w:cs="Times New Roman"/>
          <w:sz w:val="21"/>
          <w:szCs w:val="21"/>
          <w:lang w:eastAsia="en-GB"/>
        </w:rPr>
        <w:t xml:space="preserve">Indicator 3.8.1 is for health service coverage and indicator 3.8.2 </w:t>
      </w:r>
      <w:r w:rsidR="005617F0">
        <w:rPr>
          <w:rFonts w:eastAsia="Times New Roman" w:cs="Times New Roman"/>
          <w:sz w:val="21"/>
          <w:szCs w:val="21"/>
          <w:lang w:eastAsia="en-GB"/>
        </w:rPr>
        <w:t xml:space="preserve">considers </w:t>
      </w:r>
      <w:r w:rsidRPr="00CA7C0D">
        <w:rPr>
          <w:rFonts w:eastAsia="Times New Roman" w:cs="Times New Roman"/>
          <w:sz w:val="21"/>
          <w:szCs w:val="21"/>
          <w:lang w:eastAsia="en-GB"/>
        </w:rPr>
        <w:t xml:space="preserve">health expenditures in relation to a household’s budget to </w:t>
      </w:r>
      <w:r w:rsidR="00C208DF">
        <w:rPr>
          <w:rFonts w:eastAsia="Times New Roman" w:cs="Times New Roman"/>
          <w:sz w:val="21"/>
          <w:szCs w:val="21"/>
          <w:lang w:eastAsia="en-GB"/>
        </w:rPr>
        <w:t xml:space="preserve">assess if the </w:t>
      </w:r>
      <w:r w:rsidR="005617F0">
        <w:rPr>
          <w:rFonts w:eastAsia="Times New Roman" w:cs="Times New Roman"/>
          <w:sz w:val="21"/>
          <w:szCs w:val="21"/>
          <w:lang w:eastAsia="en-GB"/>
        </w:rPr>
        <w:t xml:space="preserve">payments made for the </w:t>
      </w:r>
      <w:r w:rsidR="005617F0" w:rsidRPr="00CA7C0D">
        <w:rPr>
          <w:rFonts w:eastAsia="Times New Roman" w:cs="Times New Roman"/>
          <w:sz w:val="21"/>
          <w:szCs w:val="21"/>
          <w:lang w:eastAsia="en-GB"/>
        </w:rPr>
        <w:t xml:space="preserve">health care </w:t>
      </w:r>
      <w:r w:rsidR="005617F0">
        <w:rPr>
          <w:rFonts w:eastAsia="Times New Roman" w:cs="Times New Roman"/>
          <w:sz w:val="21"/>
          <w:szCs w:val="21"/>
          <w:lang w:eastAsia="en-GB"/>
        </w:rPr>
        <w:t xml:space="preserve">received cause financial </w:t>
      </w:r>
      <w:r w:rsidRPr="00CA7C0D">
        <w:rPr>
          <w:rFonts w:eastAsia="Times New Roman" w:cs="Times New Roman"/>
          <w:sz w:val="21"/>
          <w:szCs w:val="21"/>
          <w:lang w:eastAsia="en-GB"/>
        </w:rPr>
        <w:t xml:space="preserve">hardship. </w:t>
      </w:r>
      <w:r w:rsidR="00681F7C">
        <w:rPr>
          <w:rFonts w:eastAsia="Times New Roman" w:cs="Times New Roman"/>
          <w:sz w:val="21"/>
          <w:szCs w:val="21"/>
          <w:lang w:eastAsia="en-GB"/>
        </w:rPr>
        <w:t xml:space="preserve"> </w:t>
      </w:r>
      <w:r w:rsidRPr="00CA7C0D">
        <w:rPr>
          <w:rFonts w:eastAsia="Times New Roman" w:cs="Times New Roman"/>
          <w:sz w:val="21"/>
          <w:szCs w:val="21"/>
          <w:lang w:eastAsia="en-GB"/>
        </w:rPr>
        <w:t>Taken together, indicators 3.8.1 and 3.8.2 are meant to capture the service coverage and financial protection dimensions, re</w:t>
      </w:r>
      <w:r w:rsidR="00DC2E89">
        <w:rPr>
          <w:rFonts w:eastAsia="Times New Roman" w:cs="Times New Roman"/>
          <w:sz w:val="21"/>
          <w:szCs w:val="21"/>
          <w:lang w:eastAsia="en-GB"/>
        </w:rPr>
        <w:t xml:space="preserve">spectively, of target 3.8. </w:t>
      </w:r>
      <w:r w:rsidR="00A023DF">
        <w:rPr>
          <w:rFonts w:eastAsia="Times New Roman" w:cs="Times New Roman"/>
          <w:sz w:val="21"/>
          <w:szCs w:val="21"/>
          <w:lang w:eastAsia="en-GB"/>
        </w:rPr>
        <w:t xml:space="preserve"> </w:t>
      </w:r>
      <w:r w:rsidR="00DC2E89">
        <w:rPr>
          <w:rFonts w:eastAsia="Times New Roman" w:cs="Times New Roman"/>
          <w:sz w:val="21"/>
          <w:szCs w:val="21"/>
          <w:lang w:eastAsia="en-GB"/>
        </w:rPr>
        <w:t>The</w:t>
      </w:r>
      <w:r w:rsidRPr="00CA7C0D">
        <w:rPr>
          <w:rFonts w:eastAsia="Times New Roman" w:cs="Times New Roman"/>
          <w:sz w:val="21"/>
          <w:szCs w:val="21"/>
          <w:lang w:eastAsia="en-GB"/>
        </w:rPr>
        <w:t xml:space="preserve"> two indicators should always </w:t>
      </w:r>
      <w:r w:rsidR="00DC2E89" w:rsidRPr="00CA7C0D">
        <w:rPr>
          <w:rFonts w:eastAsia="Times New Roman" w:cs="Times New Roman"/>
          <w:sz w:val="21"/>
          <w:szCs w:val="21"/>
          <w:lang w:eastAsia="en-GB"/>
        </w:rPr>
        <w:t xml:space="preserve">be </w:t>
      </w:r>
      <w:r w:rsidRPr="00CA7C0D">
        <w:rPr>
          <w:rFonts w:eastAsia="Times New Roman" w:cs="Times New Roman"/>
          <w:sz w:val="21"/>
          <w:szCs w:val="21"/>
          <w:lang w:eastAsia="en-GB"/>
        </w:rPr>
        <w:t>monitored jointly.</w:t>
      </w:r>
    </w:p>
    <w:p w14:paraId="08B8801F" w14:textId="77777777" w:rsidR="00681F7C" w:rsidRDefault="00681F7C" w:rsidP="00DC2E89">
      <w:pPr>
        <w:shd w:val="clear" w:color="auto" w:fill="FFFFFF"/>
        <w:spacing w:after="0"/>
        <w:rPr>
          <w:rFonts w:eastAsia="Times New Roman" w:cs="Times New Roman"/>
          <w:sz w:val="21"/>
          <w:szCs w:val="21"/>
          <w:lang w:eastAsia="en-GB"/>
        </w:rPr>
      </w:pPr>
    </w:p>
    <w:p w14:paraId="2917CB8D" w14:textId="77777777" w:rsidR="00621609" w:rsidRPr="003F7918" w:rsidRDefault="00621609" w:rsidP="003F7918">
      <w:pPr>
        <w:shd w:val="clear" w:color="auto" w:fill="FFFFFF"/>
        <w:spacing w:after="0"/>
        <w:rPr>
          <w:rFonts w:eastAsia="Times New Roman" w:cs="Times New Roman"/>
          <w:sz w:val="21"/>
          <w:szCs w:val="21"/>
          <w:lang w:eastAsia="en-GB"/>
        </w:rPr>
      </w:pPr>
      <w:r w:rsidRPr="003F7918">
        <w:rPr>
          <w:rFonts w:eastAsia="Times New Roman" w:cs="Times New Roman"/>
          <w:b/>
          <w:bCs/>
          <w:color w:val="4A4A4A"/>
          <w:sz w:val="21"/>
          <w:szCs w:val="21"/>
          <w:lang w:eastAsia="en-GB"/>
        </w:rPr>
        <w:t>Concepts:</w:t>
      </w:r>
    </w:p>
    <w:p w14:paraId="10E8B319" w14:textId="5493DEE9" w:rsidR="00DC13E8" w:rsidRDefault="005617F0" w:rsidP="003F7918">
      <w:pPr>
        <w:shd w:val="clear" w:color="auto" w:fill="FFFFFF"/>
        <w:spacing w:after="0"/>
        <w:rPr>
          <w:rFonts w:eastAsia="Times New Roman" w:cs="Times New Roman"/>
          <w:sz w:val="21"/>
          <w:szCs w:val="21"/>
          <w:lang w:eastAsia="en-GB"/>
        </w:rPr>
      </w:pPr>
      <w:r w:rsidRPr="003F7918">
        <w:rPr>
          <w:rFonts w:eastAsia="Times New Roman" w:cs="Times New Roman"/>
          <w:sz w:val="21"/>
          <w:szCs w:val="21"/>
          <w:lang w:eastAsia="en-GB"/>
        </w:rPr>
        <w:t>WHO and the World Bank (2014) provide</w:t>
      </w:r>
      <w:r w:rsidR="003847EB">
        <w:rPr>
          <w:rFonts w:eastAsia="Times New Roman" w:cs="Times New Roman"/>
          <w:sz w:val="21"/>
          <w:szCs w:val="21"/>
          <w:lang w:eastAsia="en-GB"/>
        </w:rPr>
        <w:t>d</w:t>
      </w:r>
      <w:r w:rsidRPr="003F7918">
        <w:rPr>
          <w:rFonts w:eastAsia="Times New Roman" w:cs="Times New Roman"/>
          <w:sz w:val="21"/>
          <w:szCs w:val="21"/>
          <w:lang w:eastAsia="en-GB"/>
        </w:rPr>
        <w:t xml:space="preserve"> the conceptual framework for the measurement of </w:t>
      </w:r>
      <w:r w:rsidR="00DC2E89" w:rsidRPr="003F7918">
        <w:rPr>
          <w:rFonts w:eastAsia="Times New Roman" w:cs="Times New Roman"/>
          <w:sz w:val="21"/>
          <w:szCs w:val="21"/>
          <w:lang w:eastAsia="en-GB"/>
        </w:rPr>
        <w:t>health service c</w:t>
      </w:r>
      <w:r w:rsidR="00EB03F6">
        <w:rPr>
          <w:rFonts w:eastAsia="Times New Roman" w:cs="Times New Roman"/>
          <w:sz w:val="21"/>
          <w:szCs w:val="21"/>
          <w:lang w:eastAsia="en-GB"/>
        </w:rPr>
        <w:t>overage. This is now the established international standard. According to this, h</w:t>
      </w:r>
      <w:r w:rsidR="00621609" w:rsidRPr="003F7918">
        <w:rPr>
          <w:rFonts w:eastAsia="Times New Roman" w:cs="Times New Roman"/>
          <w:sz w:val="21"/>
          <w:szCs w:val="21"/>
          <w:lang w:eastAsia="en-GB"/>
        </w:rPr>
        <w:t xml:space="preserve">ealth services are considered to include </w:t>
      </w:r>
      <w:r w:rsidRPr="003F7918">
        <w:rPr>
          <w:rFonts w:eastAsia="Times New Roman" w:cs="Times New Roman"/>
          <w:sz w:val="21"/>
          <w:szCs w:val="21"/>
          <w:lang w:eastAsia="en-GB"/>
        </w:rPr>
        <w:t xml:space="preserve">promotion, prevention, </w:t>
      </w:r>
      <w:r w:rsidR="00EB03F6">
        <w:rPr>
          <w:rFonts w:eastAsia="Times New Roman" w:cs="Times New Roman"/>
          <w:sz w:val="21"/>
          <w:szCs w:val="21"/>
          <w:lang w:eastAsia="en-GB"/>
        </w:rPr>
        <w:t xml:space="preserve">treatment or </w:t>
      </w:r>
      <w:r w:rsidRPr="003F7918">
        <w:rPr>
          <w:rFonts w:eastAsia="Times New Roman" w:cs="Times New Roman"/>
          <w:sz w:val="21"/>
          <w:szCs w:val="21"/>
          <w:lang w:eastAsia="en-GB"/>
        </w:rPr>
        <w:t xml:space="preserve">cure, rehabilitation and palliation over different phases of the life </w:t>
      </w:r>
      <w:r w:rsidR="00DC13E8" w:rsidRPr="003F7918">
        <w:rPr>
          <w:rFonts w:eastAsia="Times New Roman" w:cs="Times New Roman"/>
          <w:sz w:val="21"/>
          <w:szCs w:val="21"/>
          <w:lang w:eastAsia="en-GB"/>
        </w:rPr>
        <w:t>course</w:t>
      </w:r>
      <w:r w:rsidR="00DC2E89" w:rsidRPr="003F7918">
        <w:rPr>
          <w:rFonts w:eastAsia="Times New Roman" w:cs="Times New Roman"/>
          <w:sz w:val="21"/>
          <w:szCs w:val="21"/>
          <w:lang w:eastAsia="en-GB"/>
        </w:rPr>
        <w:t xml:space="preserve"> at the individual level</w:t>
      </w:r>
      <w:r w:rsidR="00DC2E89" w:rsidRPr="003F7918">
        <w:rPr>
          <w:rStyle w:val="FootnoteReference"/>
          <w:rFonts w:eastAsia="Times New Roman" w:cs="Times New Roman"/>
          <w:sz w:val="21"/>
          <w:szCs w:val="21"/>
          <w:lang w:eastAsia="en-GB"/>
        </w:rPr>
        <w:footnoteReference w:id="2"/>
      </w:r>
      <w:r w:rsidRPr="003F7918">
        <w:rPr>
          <w:rFonts w:eastAsia="Times New Roman" w:cs="Times New Roman"/>
          <w:sz w:val="21"/>
          <w:szCs w:val="21"/>
          <w:lang w:eastAsia="en-GB"/>
        </w:rPr>
        <w:t>.</w:t>
      </w:r>
      <w:r w:rsidR="00DC13E8" w:rsidRPr="003F7918">
        <w:rPr>
          <w:rFonts w:eastAsia="Times New Roman" w:cs="Times New Roman"/>
          <w:sz w:val="21"/>
          <w:szCs w:val="21"/>
          <w:lang w:eastAsia="en-GB"/>
        </w:rPr>
        <w:t xml:space="preserve"> Effective coverage of a </w:t>
      </w:r>
      <w:r w:rsidR="001B5FF3" w:rsidRPr="003F7918">
        <w:rPr>
          <w:rFonts w:eastAsia="Times New Roman" w:cs="Times New Roman"/>
          <w:sz w:val="21"/>
          <w:szCs w:val="21"/>
          <w:lang w:eastAsia="en-GB"/>
        </w:rPr>
        <w:t>service</w:t>
      </w:r>
      <w:r w:rsidR="00DC13E8" w:rsidRPr="003F7918">
        <w:rPr>
          <w:rFonts w:eastAsia="Times New Roman" w:cs="Times New Roman"/>
          <w:sz w:val="21"/>
          <w:szCs w:val="21"/>
          <w:lang w:eastAsia="en-GB"/>
        </w:rPr>
        <w:t xml:space="preserve"> or intervention is defined as the fraction of potential health gain through that service or intervention that is delivered to the population. </w:t>
      </w:r>
      <w:r w:rsidR="00A023DF">
        <w:rPr>
          <w:rFonts w:eastAsia="Times New Roman" w:cs="Times New Roman"/>
          <w:sz w:val="21"/>
          <w:szCs w:val="21"/>
          <w:lang w:eastAsia="en-GB"/>
        </w:rPr>
        <w:t xml:space="preserve"> </w:t>
      </w:r>
      <w:r w:rsidR="00DC13E8" w:rsidRPr="003F7918">
        <w:rPr>
          <w:rFonts w:eastAsia="Times New Roman" w:cs="Times New Roman"/>
          <w:sz w:val="21"/>
          <w:szCs w:val="21"/>
          <w:lang w:eastAsia="en-GB"/>
        </w:rPr>
        <w:t xml:space="preserve">Effective coverage of the entire health system is the fraction of the total health gain that the health system could deliver to a population that is </w:t>
      </w:r>
      <w:r w:rsidR="001B5FF3" w:rsidRPr="003F7918">
        <w:rPr>
          <w:rFonts w:eastAsia="Times New Roman" w:cs="Times New Roman"/>
          <w:sz w:val="21"/>
          <w:szCs w:val="21"/>
          <w:lang w:eastAsia="en-GB"/>
        </w:rPr>
        <w:t>delivered</w:t>
      </w:r>
      <w:r w:rsidR="00DC13E8" w:rsidRPr="003F7918">
        <w:rPr>
          <w:rFonts w:eastAsia="Times New Roman" w:cs="Times New Roman"/>
          <w:sz w:val="21"/>
          <w:szCs w:val="21"/>
          <w:lang w:eastAsia="en-GB"/>
        </w:rPr>
        <w:t xml:space="preserve">.  </w:t>
      </w:r>
    </w:p>
    <w:p w14:paraId="4A2B7583" w14:textId="77777777" w:rsidR="003F7918" w:rsidRDefault="003F7918" w:rsidP="003F7918">
      <w:pPr>
        <w:shd w:val="clear" w:color="auto" w:fill="FFFFFF"/>
        <w:spacing w:after="0"/>
        <w:rPr>
          <w:rFonts w:eastAsia="Times New Roman" w:cs="Times New Roman"/>
          <w:sz w:val="21"/>
          <w:szCs w:val="21"/>
          <w:lang w:eastAsia="en-GB"/>
        </w:rPr>
      </w:pPr>
    </w:p>
    <w:p w14:paraId="0047FB9C" w14:textId="6CF533FE" w:rsidR="003F7918" w:rsidRPr="003F7918" w:rsidRDefault="008705DD" w:rsidP="001250A0">
      <w:pPr>
        <w:shd w:val="clear" w:color="auto" w:fill="FFFFFF"/>
        <w:spacing w:after="0"/>
        <w:rPr>
          <w:rFonts w:eastAsia="Times New Roman" w:cs="Times New Roman"/>
          <w:sz w:val="21"/>
          <w:szCs w:val="21"/>
          <w:lang w:eastAsia="en-GB"/>
        </w:rPr>
      </w:pPr>
      <w:r w:rsidRPr="003F7918">
        <w:rPr>
          <w:rFonts w:eastAsia="Times New Roman" w:cs="Times New Roman"/>
          <w:sz w:val="21"/>
          <w:szCs w:val="21"/>
          <w:lang w:eastAsia="en-GB"/>
        </w:rPr>
        <w:t xml:space="preserve">While UHC should consider all the health needs of individuals </w:t>
      </w:r>
      <w:r w:rsidR="00DC13E8" w:rsidRPr="003F7918">
        <w:rPr>
          <w:rFonts w:eastAsia="Times New Roman" w:cs="Times New Roman"/>
          <w:sz w:val="21"/>
          <w:szCs w:val="21"/>
          <w:lang w:eastAsia="en-GB"/>
        </w:rPr>
        <w:t>i</w:t>
      </w:r>
      <w:r w:rsidR="005617F0" w:rsidRPr="003F7918">
        <w:rPr>
          <w:rFonts w:eastAsia="Times New Roman" w:cs="Times New Roman"/>
          <w:sz w:val="21"/>
          <w:szCs w:val="21"/>
          <w:lang w:eastAsia="en-GB"/>
        </w:rPr>
        <w:t xml:space="preserve">t is not feasible to track all services provided </w:t>
      </w:r>
      <w:r w:rsidR="00DC13E8" w:rsidRPr="003F7918">
        <w:rPr>
          <w:rFonts w:eastAsia="Times New Roman" w:cs="Times New Roman"/>
          <w:sz w:val="21"/>
          <w:szCs w:val="21"/>
          <w:lang w:eastAsia="en-GB"/>
        </w:rPr>
        <w:t>to populations</w:t>
      </w:r>
      <w:r w:rsidRPr="003F7918">
        <w:rPr>
          <w:rFonts w:eastAsia="Times New Roman" w:cs="Times New Roman"/>
          <w:sz w:val="21"/>
          <w:szCs w:val="21"/>
          <w:lang w:eastAsia="en-GB"/>
        </w:rPr>
        <w:t xml:space="preserve">. </w:t>
      </w:r>
      <w:r w:rsidR="00A023DF">
        <w:rPr>
          <w:rFonts w:eastAsia="Times New Roman" w:cs="Times New Roman"/>
          <w:sz w:val="21"/>
          <w:szCs w:val="21"/>
          <w:lang w:eastAsia="en-GB"/>
        </w:rPr>
        <w:t xml:space="preserve"> </w:t>
      </w:r>
      <w:r w:rsidR="00B34031">
        <w:rPr>
          <w:rFonts w:eastAsia="Times New Roman" w:cs="Times New Roman"/>
          <w:sz w:val="21"/>
          <w:szCs w:val="21"/>
          <w:lang w:eastAsia="en-GB"/>
        </w:rPr>
        <w:t>Nevertheless</w:t>
      </w:r>
      <w:r w:rsidRPr="003F7918">
        <w:rPr>
          <w:rFonts w:eastAsia="Times New Roman" w:cs="Times New Roman"/>
          <w:sz w:val="21"/>
          <w:szCs w:val="21"/>
          <w:lang w:eastAsia="en-GB"/>
        </w:rPr>
        <w:t xml:space="preserve">, </w:t>
      </w:r>
      <w:r w:rsidR="00DC13E8" w:rsidRPr="003F7918">
        <w:rPr>
          <w:rFonts w:eastAsia="Times New Roman" w:cs="Times New Roman"/>
          <w:sz w:val="21"/>
          <w:szCs w:val="21"/>
          <w:lang w:eastAsia="en-GB"/>
        </w:rPr>
        <w:t>an estimate of the extent to which health UHC is achieved can be made by tracking a select</w:t>
      </w:r>
      <w:r w:rsidRPr="003F7918">
        <w:rPr>
          <w:rFonts w:eastAsia="Times New Roman" w:cs="Times New Roman"/>
          <w:sz w:val="21"/>
          <w:szCs w:val="21"/>
          <w:lang w:eastAsia="en-GB"/>
        </w:rPr>
        <w:t xml:space="preserve">ion of “tracer” indicators. </w:t>
      </w:r>
      <w:r w:rsidR="00A023DF">
        <w:rPr>
          <w:rFonts w:eastAsia="Times New Roman" w:cs="Times New Roman"/>
          <w:sz w:val="21"/>
          <w:szCs w:val="21"/>
          <w:lang w:eastAsia="en-GB"/>
        </w:rPr>
        <w:t xml:space="preserve"> </w:t>
      </w:r>
      <w:r w:rsidRPr="003F7918">
        <w:rPr>
          <w:rFonts w:eastAsia="Times New Roman" w:cs="Times New Roman"/>
          <w:sz w:val="21"/>
          <w:szCs w:val="21"/>
          <w:lang w:eastAsia="en-GB"/>
        </w:rPr>
        <w:t xml:space="preserve">This approach requires that the </w:t>
      </w:r>
      <w:r w:rsidR="00DC13E8" w:rsidRPr="003F7918">
        <w:rPr>
          <w:rFonts w:eastAsia="Times New Roman" w:cs="Times New Roman"/>
          <w:sz w:val="21"/>
          <w:szCs w:val="21"/>
          <w:lang w:eastAsia="en-GB"/>
        </w:rPr>
        <w:t xml:space="preserve">indicators reflect major health </w:t>
      </w:r>
      <w:r w:rsidR="003847EB">
        <w:rPr>
          <w:rFonts w:eastAsia="Times New Roman" w:cs="Times New Roman"/>
          <w:sz w:val="21"/>
          <w:szCs w:val="21"/>
          <w:lang w:eastAsia="en-GB"/>
        </w:rPr>
        <w:t xml:space="preserve">interventions that people </w:t>
      </w:r>
      <w:r w:rsidR="00DC13E8" w:rsidRPr="003F7918">
        <w:rPr>
          <w:rFonts w:eastAsia="Times New Roman" w:cs="Times New Roman"/>
          <w:sz w:val="21"/>
          <w:szCs w:val="21"/>
          <w:lang w:eastAsia="en-GB"/>
        </w:rPr>
        <w:t xml:space="preserve">need at different stages of the life course.  </w:t>
      </w:r>
      <w:r w:rsidR="00CB1B95">
        <w:rPr>
          <w:rFonts w:eastAsia="Times New Roman" w:cs="Times New Roman"/>
          <w:sz w:val="21"/>
          <w:szCs w:val="21"/>
          <w:lang w:eastAsia="en-GB"/>
        </w:rPr>
        <w:t>Annex 1</w:t>
      </w:r>
      <w:r w:rsidRPr="003F7918">
        <w:rPr>
          <w:rFonts w:eastAsia="Times New Roman" w:cs="Times New Roman"/>
          <w:sz w:val="21"/>
          <w:szCs w:val="21"/>
          <w:lang w:eastAsia="en-GB"/>
        </w:rPr>
        <w:t xml:space="preserve"> summarizes the tracer health </w:t>
      </w:r>
      <w:r w:rsidR="003847EB">
        <w:rPr>
          <w:rFonts w:eastAsia="Times New Roman" w:cs="Times New Roman"/>
          <w:sz w:val="21"/>
          <w:szCs w:val="21"/>
          <w:lang w:eastAsia="en-GB"/>
        </w:rPr>
        <w:t>interventions</w:t>
      </w:r>
      <w:r w:rsidRPr="003F7918">
        <w:rPr>
          <w:rFonts w:eastAsia="Times New Roman" w:cs="Times New Roman"/>
          <w:sz w:val="21"/>
          <w:szCs w:val="21"/>
          <w:lang w:eastAsia="en-GB"/>
        </w:rPr>
        <w:t xml:space="preserve"> across five stages of the life-course (reproductive and </w:t>
      </w:r>
      <w:r w:rsidR="00B732F0" w:rsidRPr="003F7918">
        <w:rPr>
          <w:rFonts w:eastAsia="Times New Roman" w:cs="Times New Roman"/>
          <w:sz w:val="21"/>
          <w:szCs w:val="21"/>
          <w:lang w:eastAsia="en-GB"/>
        </w:rPr>
        <w:t>new-born</w:t>
      </w:r>
      <w:r w:rsidRPr="003F7918">
        <w:rPr>
          <w:rFonts w:eastAsia="Times New Roman" w:cs="Times New Roman"/>
          <w:sz w:val="21"/>
          <w:szCs w:val="21"/>
          <w:lang w:eastAsia="en-GB"/>
        </w:rPr>
        <w:t xml:space="preserve"> care, under 5, 5-19, 20-64 and 65+).  Se</w:t>
      </w:r>
      <w:r w:rsidR="00C208DF">
        <w:rPr>
          <w:rFonts w:eastAsia="Times New Roman" w:cs="Times New Roman"/>
          <w:sz w:val="21"/>
          <w:szCs w:val="21"/>
          <w:lang w:eastAsia="en-GB"/>
        </w:rPr>
        <w:t xml:space="preserve">rvices are classified </w:t>
      </w:r>
      <w:r w:rsidRPr="003F7918">
        <w:rPr>
          <w:rFonts w:eastAsia="Times New Roman" w:cs="Times New Roman"/>
          <w:sz w:val="21"/>
          <w:szCs w:val="21"/>
          <w:lang w:eastAsia="en-GB"/>
        </w:rPr>
        <w:t>whether they are considered as promotion, prevention, treatment, rehabilitation and palliation.</w:t>
      </w:r>
      <w:r w:rsidR="004E6D8F">
        <w:rPr>
          <w:rFonts w:eastAsia="Times New Roman" w:cs="Times New Roman"/>
          <w:sz w:val="21"/>
          <w:szCs w:val="21"/>
          <w:lang w:eastAsia="en-GB"/>
        </w:rPr>
        <w:t xml:space="preserve"> </w:t>
      </w:r>
    </w:p>
    <w:p w14:paraId="648C3B0E" w14:textId="77777777" w:rsidR="003F7918" w:rsidRPr="003F7918" w:rsidRDefault="003F7918" w:rsidP="003F7918">
      <w:pPr>
        <w:shd w:val="clear" w:color="auto" w:fill="FFFFFF"/>
        <w:spacing w:after="0"/>
        <w:rPr>
          <w:rFonts w:eastAsia="Times New Roman" w:cs="Times New Roman"/>
          <w:sz w:val="21"/>
          <w:szCs w:val="21"/>
          <w:lang w:eastAsia="en-GB"/>
        </w:rPr>
      </w:pPr>
    </w:p>
    <w:p w14:paraId="72C26871" w14:textId="6D8B6F6A" w:rsidR="003F7918" w:rsidRDefault="00EB03F6" w:rsidP="003F7918">
      <w:pPr>
        <w:shd w:val="clear" w:color="auto" w:fill="FFFFFF"/>
        <w:spacing w:after="0"/>
        <w:rPr>
          <w:rFonts w:ascii="Calibri" w:eastAsia="Times New Roman" w:hAnsi="Calibri" w:cs="Times New Roman"/>
          <w:color w:val="000000"/>
          <w:sz w:val="21"/>
          <w:szCs w:val="21"/>
          <w:lang w:val="en-US"/>
        </w:rPr>
      </w:pPr>
      <w:r>
        <w:rPr>
          <w:rFonts w:ascii="Calibri" w:eastAsia="Times New Roman" w:hAnsi="Calibri" w:cs="Times New Roman"/>
          <w:color w:val="000000"/>
          <w:sz w:val="21"/>
          <w:szCs w:val="21"/>
          <w:lang w:val="en-US"/>
        </w:rPr>
        <w:t xml:space="preserve">The tracer indicators are </w:t>
      </w:r>
      <w:r w:rsidR="003F7918" w:rsidRPr="003F7918">
        <w:rPr>
          <w:rFonts w:ascii="Calibri" w:eastAsia="Times New Roman" w:hAnsi="Calibri" w:cs="Times New Roman"/>
          <w:color w:val="000000"/>
          <w:sz w:val="21"/>
          <w:szCs w:val="21"/>
          <w:lang w:val="en-US"/>
        </w:rPr>
        <w:t xml:space="preserve">combined into an overall </w:t>
      </w:r>
      <w:r w:rsidR="003847EB">
        <w:rPr>
          <w:rFonts w:ascii="Calibri" w:eastAsia="Times New Roman" w:hAnsi="Calibri" w:cs="Times New Roman"/>
          <w:color w:val="000000"/>
          <w:sz w:val="21"/>
          <w:szCs w:val="21"/>
          <w:lang w:val="en-US"/>
        </w:rPr>
        <w:t>index</w:t>
      </w:r>
      <w:r w:rsidR="003F7918" w:rsidRPr="003F7918">
        <w:rPr>
          <w:rFonts w:ascii="Calibri" w:eastAsia="Times New Roman" w:hAnsi="Calibri" w:cs="Times New Roman"/>
          <w:color w:val="000000"/>
          <w:sz w:val="21"/>
          <w:szCs w:val="21"/>
          <w:lang w:val="en-US"/>
        </w:rPr>
        <w:t xml:space="preserve"> of UHC service coverage </w:t>
      </w:r>
      <w:r w:rsidR="003847EB">
        <w:rPr>
          <w:rFonts w:ascii="Calibri" w:eastAsia="Times New Roman" w:hAnsi="Calibri" w:cs="Times New Roman"/>
          <w:color w:val="000000"/>
          <w:sz w:val="21"/>
          <w:szCs w:val="21"/>
          <w:lang w:val="en-US"/>
        </w:rPr>
        <w:t xml:space="preserve">(that will serve as the indicator for 3.8.1) </w:t>
      </w:r>
      <w:r w:rsidR="003F7918" w:rsidRPr="003F7918">
        <w:rPr>
          <w:rFonts w:ascii="Calibri" w:eastAsia="Times New Roman" w:hAnsi="Calibri" w:cs="Times New Roman"/>
          <w:color w:val="000000"/>
          <w:sz w:val="21"/>
          <w:szCs w:val="21"/>
          <w:lang w:val="en-US"/>
        </w:rPr>
        <w:t xml:space="preserve">by </w:t>
      </w:r>
      <w:r w:rsidR="003F7918" w:rsidRPr="00841265">
        <w:rPr>
          <w:rFonts w:ascii="Calibri" w:eastAsia="Times New Roman" w:hAnsi="Calibri" w:cs="Times New Roman"/>
          <w:color w:val="000000"/>
          <w:sz w:val="21"/>
          <w:szCs w:val="21"/>
          <w:lang w:val="en-US"/>
        </w:rPr>
        <w:t xml:space="preserve">weighting each </w:t>
      </w:r>
      <w:r w:rsidR="003847EB" w:rsidRPr="00841265">
        <w:rPr>
          <w:rFonts w:ascii="Calibri" w:eastAsia="Times New Roman" w:hAnsi="Calibri" w:cs="Times New Roman"/>
          <w:color w:val="000000"/>
          <w:sz w:val="21"/>
          <w:szCs w:val="21"/>
          <w:lang w:val="en-US"/>
        </w:rPr>
        <w:t xml:space="preserve">underlying </w:t>
      </w:r>
      <w:r w:rsidR="003F7918" w:rsidRPr="00841265">
        <w:rPr>
          <w:rFonts w:ascii="Calibri" w:eastAsia="Times New Roman" w:hAnsi="Calibri" w:cs="Times New Roman"/>
          <w:color w:val="000000"/>
          <w:sz w:val="21"/>
          <w:szCs w:val="21"/>
          <w:lang w:val="en-US"/>
        </w:rPr>
        <w:t xml:space="preserve">indicator by the health gain achieved through the bundle of interventions associated </w:t>
      </w:r>
      <w:r w:rsidR="00A023DF" w:rsidRPr="00841265">
        <w:rPr>
          <w:rFonts w:ascii="Calibri" w:eastAsia="Times New Roman" w:hAnsi="Calibri" w:cs="Times New Roman"/>
          <w:color w:val="000000"/>
          <w:sz w:val="21"/>
          <w:szCs w:val="21"/>
          <w:lang w:val="en-US"/>
        </w:rPr>
        <w:t xml:space="preserve">with </w:t>
      </w:r>
      <w:r w:rsidR="003F7918" w:rsidRPr="00841265">
        <w:rPr>
          <w:rFonts w:ascii="Calibri" w:eastAsia="Times New Roman" w:hAnsi="Calibri" w:cs="Times New Roman"/>
          <w:color w:val="000000"/>
          <w:sz w:val="21"/>
          <w:szCs w:val="21"/>
          <w:lang w:val="en-US"/>
        </w:rPr>
        <w:t>each indicator.</w:t>
      </w:r>
      <w:r w:rsidR="003F7918" w:rsidRPr="003F7918">
        <w:rPr>
          <w:rFonts w:ascii="Calibri" w:eastAsia="Times New Roman" w:hAnsi="Calibri" w:cs="Times New Roman"/>
          <w:color w:val="000000"/>
          <w:sz w:val="21"/>
          <w:szCs w:val="21"/>
          <w:lang w:val="en-US"/>
        </w:rPr>
        <w:t xml:space="preserve">  </w:t>
      </w:r>
    </w:p>
    <w:p w14:paraId="272DB5E8" w14:textId="77777777" w:rsidR="00E1506D" w:rsidRDefault="00E1506D" w:rsidP="003F7918">
      <w:pPr>
        <w:shd w:val="clear" w:color="auto" w:fill="FFFFFF"/>
        <w:spacing w:after="0"/>
        <w:rPr>
          <w:rFonts w:ascii="Calibri" w:eastAsia="Times New Roman" w:hAnsi="Calibri" w:cs="Times New Roman"/>
          <w:color w:val="000000"/>
          <w:sz w:val="21"/>
          <w:szCs w:val="21"/>
          <w:lang w:val="en-US"/>
        </w:rPr>
      </w:pPr>
    </w:p>
    <w:p w14:paraId="1FA84CB1" w14:textId="77777777" w:rsidR="00E1506D" w:rsidRPr="00573631" w:rsidRDefault="00E1506D" w:rsidP="00E1506D">
      <w:pPr>
        <w:shd w:val="clear" w:color="auto" w:fill="FFFFFF"/>
        <w:spacing w:after="0"/>
        <w:rPr>
          <w:rFonts w:eastAsia="Times New Roman" w:cs="Times New Roman"/>
          <w:color w:val="4A4A4A"/>
          <w:sz w:val="21"/>
          <w:szCs w:val="21"/>
          <w:lang w:eastAsia="en-GB"/>
        </w:rPr>
      </w:pPr>
      <w:r>
        <w:rPr>
          <w:rFonts w:eastAsia="Times New Roman" w:cs="Times New Roman"/>
          <w:b/>
          <w:bCs/>
          <w:color w:val="4A4A4A"/>
          <w:sz w:val="21"/>
          <w:szCs w:val="21"/>
          <w:lang w:eastAsia="en-GB"/>
        </w:rPr>
        <w:t>Comments and limitations:</w:t>
      </w:r>
    </w:p>
    <w:p w14:paraId="1692D9C0" w14:textId="2DE3932C" w:rsidR="00E1506D" w:rsidRPr="00841265" w:rsidRDefault="00E1506D" w:rsidP="005C4D72">
      <w:pPr>
        <w:shd w:val="clear" w:color="auto" w:fill="FFFFFF"/>
        <w:spacing w:after="0"/>
        <w:rPr>
          <w:rFonts w:eastAsia="Times New Roman" w:cstheme="minorHAnsi"/>
          <w:sz w:val="21"/>
          <w:szCs w:val="21"/>
          <w:lang w:eastAsia="en-GB"/>
        </w:rPr>
      </w:pPr>
      <w:r>
        <w:rPr>
          <w:rFonts w:eastAsia="Times New Roman" w:cstheme="minorHAnsi"/>
          <w:sz w:val="21"/>
          <w:szCs w:val="21"/>
          <w:lang w:eastAsia="en-GB"/>
        </w:rPr>
        <w:t xml:space="preserve">These tracer indicators are meant to be indicative of service coverage, not a complete or exhaustive list of health services and interventions that are required for universal health coverage. </w:t>
      </w:r>
      <w:r w:rsidRPr="00D0506A">
        <w:rPr>
          <w:rFonts w:eastAsia="Times New Roman" w:cstheme="minorHAnsi"/>
          <w:sz w:val="21"/>
          <w:szCs w:val="21"/>
          <w:lang w:eastAsia="en-GB"/>
        </w:rPr>
        <w:t xml:space="preserve">The </w:t>
      </w:r>
      <w:r w:rsidR="00A023DF">
        <w:rPr>
          <w:rFonts w:eastAsia="Times New Roman" w:cstheme="minorHAnsi"/>
          <w:sz w:val="21"/>
          <w:szCs w:val="21"/>
          <w:lang w:eastAsia="en-GB"/>
        </w:rPr>
        <w:t>3</w:t>
      </w:r>
      <w:r w:rsidR="00C208DF">
        <w:rPr>
          <w:rFonts w:eastAsia="Times New Roman" w:cstheme="minorHAnsi"/>
          <w:sz w:val="21"/>
          <w:szCs w:val="21"/>
          <w:lang w:eastAsia="en-GB"/>
        </w:rPr>
        <w:t>9</w:t>
      </w:r>
      <w:r w:rsidRPr="00D0506A">
        <w:rPr>
          <w:rFonts w:eastAsia="Times New Roman" w:cstheme="minorHAnsi"/>
          <w:sz w:val="21"/>
          <w:szCs w:val="21"/>
          <w:lang w:eastAsia="en-GB"/>
        </w:rPr>
        <w:t xml:space="preserve"> tracer indicators </w:t>
      </w:r>
      <w:r>
        <w:rPr>
          <w:rFonts w:eastAsia="Times New Roman" w:cstheme="minorHAnsi"/>
          <w:sz w:val="21"/>
          <w:szCs w:val="21"/>
          <w:lang w:eastAsia="en-GB"/>
        </w:rPr>
        <w:t xml:space="preserve">were </w:t>
      </w:r>
      <w:r w:rsidRPr="00D0506A">
        <w:rPr>
          <w:rFonts w:eastAsia="Times New Roman" w:cstheme="minorHAnsi"/>
          <w:sz w:val="21"/>
          <w:szCs w:val="21"/>
          <w:lang w:eastAsia="en-GB"/>
        </w:rPr>
        <w:t>selected becau</w:t>
      </w:r>
      <w:r>
        <w:rPr>
          <w:rFonts w:eastAsia="Times New Roman" w:cstheme="minorHAnsi"/>
          <w:sz w:val="21"/>
          <w:szCs w:val="21"/>
          <w:lang w:eastAsia="en-GB"/>
        </w:rPr>
        <w:t>se they are well-established, with available data widely</w:t>
      </w:r>
      <w:r w:rsidRPr="00D0506A">
        <w:rPr>
          <w:rFonts w:eastAsia="Times New Roman" w:cstheme="minorHAnsi"/>
          <w:sz w:val="21"/>
          <w:szCs w:val="21"/>
          <w:lang w:eastAsia="en-GB"/>
        </w:rPr>
        <w:t xml:space="preserve"> reported by countries.</w:t>
      </w:r>
      <w:r>
        <w:rPr>
          <w:rFonts w:eastAsia="Times New Roman" w:cstheme="minorHAnsi"/>
          <w:sz w:val="21"/>
          <w:szCs w:val="21"/>
          <w:lang w:eastAsia="en-GB"/>
        </w:rPr>
        <w:t xml:space="preserve"> </w:t>
      </w:r>
      <w:r w:rsidR="00A023DF">
        <w:rPr>
          <w:rFonts w:eastAsia="Times New Roman" w:cstheme="minorHAnsi"/>
          <w:sz w:val="21"/>
          <w:szCs w:val="21"/>
          <w:lang w:eastAsia="en-GB"/>
        </w:rPr>
        <w:t xml:space="preserve"> </w:t>
      </w:r>
      <w:r w:rsidR="005F44AC">
        <w:rPr>
          <w:rFonts w:eastAsia="Times New Roman" w:cstheme="minorHAnsi"/>
          <w:sz w:val="21"/>
          <w:szCs w:val="21"/>
          <w:lang w:eastAsia="en-GB"/>
        </w:rPr>
        <w:t>A</w:t>
      </w:r>
      <w:r w:rsidR="00EB03F6">
        <w:rPr>
          <w:rFonts w:eastAsia="Times New Roman" w:cstheme="minorHAnsi"/>
          <w:sz w:val="21"/>
          <w:szCs w:val="21"/>
          <w:lang w:eastAsia="en-GB"/>
        </w:rPr>
        <w:t xml:space="preserve">s indicated </w:t>
      </w:r>
      <w:r w:rsidR="005C4D72">
        <w:rPr>
          <w:rFonts w:eastAsia="Times New Roman" w:cstheme="minorHAnsi"/>
          <w:sz w:val="21"/>
          <w:szCs w:val="21"/>
          <w:lang w:eastAsia="en-GB"/>
        </w:rPr>
        <w:t>in the Table</w:t>
      </w:r>
      <w:r w:rsidR="00EB03F6">
        <w:rPr>
          <w:rFonts w:eastAsia="Times New Roman" w:cstheme="minorHAnsi"/>
          <w:sz w:val="21"/>
          <w:szCs w:val="21"/>
          <w:lang w:eastAsia="en-GB"/>
        </w:rPr>
        <w:t xml:space="preserve"> below, </w:t>
      </w:r>
      <w:r w:rsidR="005F44AC">
        <w:rPr>
          <w:rFonts w:eastAsia="Times New Roman" w:cstheme="minorHAnsi"/>
          <w:sz w:val="21"/>
          <w:szCs w:val="21"/>
          <w:lang w:eastAsia="en-GB"/>
        </w:rPr>
        <w:t xml:space="preserve">eight </w:t>
      </w:r>
      <w:r w:rsidR="00EB03F6">
        <w:rPr>
          <w:rFonts w:eastAsia="Times New Roman" w:cstheme="minorHAnsi"/>
          <w:sz w:val="21"/>
          <w:szCs w:val="21"/>
          <w:lang w:eastAsia="en-GB"/>
        </w:rPr>
        <w:t>of the indicators can be considered ‘aspirational’. Depending on the country context, they can be included as part of the overall universal health coverage index</w:t>
      </w:r>
      <w:r w:rsidR="005F44AC">
        <w:rPr>
          <w:rFonts w:eastAsia="Times New Roman" w:cstheme="minorHAnsi"/>
          <w:sz w:val="21"/>
          <w:szCs w:val="21"/>
          <w:lang w:eastAsia="en-GB"/>
        </w:rPr>
        <w:t xml:space="preserve">; in most countries the aspirational indicators may not yet be available.  </w:t>
      </w:r>
      <w:r w:rsidR="00EB03F6">
        <w:rPr>
          <w:rFonts w:eastAsia="Times New Roman" w:cstheme="minorHAnsi"/>
          <w:sz w:val="21"/>
          <w:szCs w:val="21"/>
          <w:lang w:eastAsia="en-GB"/>
        </w:rPr>
        <w:t>Based on the country consultations across the WHO Member State</w:t>
      </w:r>
      <w:r w:rsidR="005C4D72">
        <w:rPr>
          <w:rFonts w:eastAsia="Times New Roman" w:cstheme="minorHAnsi"/>
          <w:sz w:val="21"/>
          <w:szCs w:val="21"/>
          <w:lang w:eastAsia="en-GB"/>
        </w:rPr>
        <w:t>s</w:t>
      </w:r>
      <w:r w:rsidR="00EB03F6">
        <w:rPr>
          <w:rFonts w:eastAsia="Times New Roman" w:cstheme="minorHAnsi"/>
          <w:sz w:val="21"/>
          <w:szCs w:val="21"/>
          <w:lang w:eastAsia="en-GB"/>
        </w:rPr>
        <w:t xml:space="preserve">, the </w:t>
      </w:r>
      <w:r w:rsidRPr="00841265">
        <w:rPr>
          <w:rFonts w:eastAsia="Times New Roman" w:cstheme="minorHAnsi"/>
          <w:sz w:val="21"/>
          <w:szCs w:val="21"/>
          <w:lang w:eastAsia="en-GB"/>
        </w:rPr>
        <w:t>index can be computed with existing data sources and does not require initiating new data collection efforts solely to inform the index.</w:t>
      </w:r>
      <w:r w:rsidR="00EB03F6">
        <w:rPr>
          <w:rFonts w:eastAsia="Times New Roman" w:cstheme="minorHAnsi"/>
          <w:sz w:val="21"/>
          <w:szCs w:val="21"/>
          <w:lang w:eastAsia="en-GB"/>
        </w:rPr>
        <w:t xml:space="preserve"> The data availability for the various underlying indicators are shown in the </w:t>
      </w:r>
      <w:r w:rsidR="003A5942">
        <w:rPr>
          <w:rFonts w:eastAsia="Times New Roman" w:cstheme="minorHAnsi"/>
          <w:sz w:val="21"/>
          <w:szCs w:val="21"/>
          <w:lang w:eastAsia="en-GB"/>
        </w:rPr>
        <w:t>attached table</w:t>
      </w:r>
      <w:r w:rsidR="00EB03F6">
        <w:rPr>
          <w:rFonts w:eastAsia="Times New Roman" w:cstheme="minorHAnsi"/>
          <w:sz w:val="21"/>
          <w:szCs w:val="21"/>
          <w:lang w:eastAsia="en-GB"/>
        </w:rPr>
        <w:t xml:space="preserve">. </w:t>
      </w:r>
    </w:p>
    <w:p w14:paraId="69B7DC46" w14:textId="2DE32055" w:rsidR="003F7918" w:rsidRPr="00CB1B95" w:rsidRDefault="00E1506D">
      <w:pPr>
        <w:rPr>
          <w:rFonts w:eastAsia="Times New Roman" w:cs="Times New Roman"/>
          <w:b/>
          <w:bCs/>
          <w:sz w:val="21"/>
          <w:szCs w:val="21"/>
          <w:lang w:eastAsia="en-GB"/>
        </w:rPr>
      </w:pPr>
      <w:r>
        <w:rPr>
          <w:rFonts w:eastAsia="Times New Roman" w:cs="Times New Roman"/>
          <w:b/>
          <w:bCs/>
          <w:sz w:val="21"/>
          <w:szCs w:val="21"/>
          <w:lang w:eastAsia="en-GB"/>
        </w:rPr>
        <w:br w:type="page"/>
      </w:r>
    </w:p>
    <w:p w14:paraId="4E8C9142" w14:textId="77777777" w:rsidR="001A21B2" w:rsidRPr="003B1828" w:rsidRDefault="001A21B2" w:rsidP="001A21B2">
      <w:pPr>
        <w:pBdr>
          <w:bottom w:val="single" w:sz="12" w:space="4" w:color="DDDDDD"/>
        </w:pBdr>
        <w:shd w:val="clear" w:color="auto" w:fill="FFFFFF"/>
        <w:spacing w:after="0"/>
        <w:outlineLvl w:val="2"/>
        <w:rPr>
          <w:rFonts w:eastAsia="Times New Roman" w:cs="Times New Roman"/>
          <w:color w:val="1C75BC"/>
          <w:sz w:val="36"/>
          <w:szCs w:val="36"/>
          <w:lang w:eastAsia="en-GB"/>
        </w:rPr>
      </w:pPr>
      <w:r w:rsidRPr="00573631">
        <w:rPr>
          <w:rFonts w:eastAsia="Times New Roman" w:cs="Times New Roman"/>
          <w:color w:val="1C75BC"/>
          <w:sz w:val="36"/>
          <w:szCs w:val="36"/>
          <w:lang w:eastAsia="en-GB"/>
        </w:rPr>
        <w:lastRenderedPageBreak/>
        <w:t>Methodology</w:t>
      </w:r>
    </w:p>
    <w:p w14:paraId="01AD687F" w14:textId="27A86753" w:rsidR="001A21B2" w:rsidRPr="003F7918" w:rsidRDefault="001A21B2" w:rsidP="001A21B2">
      <w:pPr>
        <w:shd w:val="clear" w:color="auto" w:fill="FFFFFF"/>
        <w:spacing w:after="0"/>
        <w:rPr>
          <w:rFonts w:eastAsia="Times New Roman" w:cs="Times New Roman"/>
          <w:b/>
          <w:bCs/>
          <w:sz w:val="21"/>
          <w:szCs w:val="21"/>
          <w:lang w:eastAsia="en-GB"/>
        </w:rPr>
      </w:pPr>
      <w:r>
        <w:rPr>
          <w:rFonts w:eastAsia="Times New Roman" w:cs="Times New Roman"/>
          <w:b/>
          <w:bCs/>
          <w:sz w:val="21"/>
          <w:szCs w:val="21"/>
          <w:lang w:eastAsia="en-GB"/>
        </w:rPr>
        <w:t>Computational Method</w:t>
      </w:r>
      <w:r w:rsidR="005C4B68">
        <w:rPr>
          <w:rFonts w:eastAsia="Times New Roman" w:cs="Times New Roman"/>
          <w:b/>
          <w:bCs/>
          <w:sz w:val="21"/>
          <w:szCs w:val="21"/>
          <w:lang w:eastAsia="en-GB"/>
        </w:rPr>
        <w:t>:</w:t>
      </w:r>
    </w:p>
    <w:p w14:paraId="748E899B" w14:textId="055E64FD" w:rsidR="001A21B2" w:rsidRDefault="001A21B2" w:rsidP="005F44AC">
      <w:r>
        <w:t xml:space="preserve">The UHC index is part of the WHO’s Impact Framework of the 2019-2023 </w:t>
      </w:r>
      <w:r w:rsidR="005C4B68">
        <w:t xml:space="preserve">13th </w:t>
      </w:r>
      <w:r>
        <w:t xml:space="preserve">General Programme of Work. The updated and improved index is derived from the work of the Expert Reference Group, and its Task Force on </w:t>
      </w:r>
      <w:r w:rsidR="005F44AC">
        <w:t>Metrics</w:t>
      </w:r>
      <w:r>
        <w:t xml:space="preserve"> convened by the WHO Director General at the request of the World Health Assembly to develop an effective monitoring system for all WHO’s work, including that of universal health coverage, which in practice equals what the SDG UHC target calls for – ‘quality’ essential health services  </w:t>
      </w:r>
    </w:p>
    <w:p w14:paraId="1B41E55E" w14:textId="0478CE33" w:rsidR="001A21B2" w:rsidRDefault="001A21B2" w:rsidP="001A21B2">
      <w:r>
        <w:t>The method is elaborated on the WHO/W</w:t>
      </w:r>
      <w:r w:rsidR="003A5942">
        <w:t xml:space="preserve">orld </w:t>
      </w:r>
      <w:r>
        <w:t>B</w:t>
      </w:r>
      <w:r w:rsidR="003A5942">
        <w:t>ank</w:t>
      </w:r>
      <w:r>
        <w:t xml:space="preserve"> framework by identifying the major platforms of care through which promotion, prevention, cure, rehabilitation, and palliation are delivered. Annex 1 shows the matrix of different phases of the life </w:t>
      </w:r>
      <w:r w:rsidR="003A5942">
        <w:t>course</w:t>
      </w:r>
      <w:r>
        <w:t xml:space="preserve"> of individuals who need care and the platforms through which services are delivered. The goal would be to measure the effective coverage of interventions in each cell in Annex 1. For most cells, however, measures of effective coverage are not readily available. Proxy measures for effective coverage in each cell were identified by the Task Force based on the following criteria: a) the indicator should be correlated with the broader set of interventions that provide health gain in that cell; b) the indicator should be measurable; c) the indicator should in its own right measure something that is important for UHC and thus improving health; d) variation in the indicator to the extent possible should reflect variation in UHC coverage and not factors that are beyond the scope of UHC such as social or environmental determinants; and e) existing UN SDG indicators or others used by WHO for its various monitoring works should be used if they fulfil the previous criteria. </w:t>
      </w:r>
      <w:r w:rsidR="003A5942">
        <w:t>The t</w:t>
      </w:r>
      <w:r>
        <w:t>able below provides the indicators that emerged from this process. This set of indicators uses case-fatality rates (more precisely mortality-to-incidence ratios for acute conditions and mortality to prevalence ratios for chronic conditions).</w:t>
      </w:r>
      <w:r w:rsidDel="00D02C5D">
        <w:t xml:space="preserve"> </w:t>
      </w:r>
      <w:r>
        <w:t>In addition, for maternal interventions, the maternal mortality ratio is used (standardised for age-specific fertility).</w:t>
      </w:r>
      <w:r w:rsidDel="00D02C5D">
        <w:t xml:space="preserve"> </w:t>
      </w:r>
      <w:r>
        <w:t xml:space="preserve">The early neonatal mortality ratio is used as on overall proxy for prenatal, peri-partum and post-natal care for neonates. </w:t>
      </w:r>
    </w:p>
    <w:p w14:paraId="4A08FA79" w14:textId="525E7BB8" w:rsidR="001A21B2" w:rsidRDefault="001A21B2" w:rsidP="001A21B2">
      <w:r>
        <w:t xml:space="preserve">Coverage measures such as vaccination rates or </w:t>
      </w:r>
      <w:r w:rsidR="005F44AC">
        <w:t>anti-retroviral therapy (</w:t>
      </w:r>
      <w:r>
        <w:t>ART</w:t>
      </w:r>
      <w:r w:rsidR="005F44AC">
        <w:t>)</w:t>
      </w:r>
      <w:r>
        <w:t xml:space="preserve"> have been used on the zero to 100% scale.</w:t>
      </w:r>
      <w:r w:rsidDel="00D02C5D">
        <w:t xml:space="preserve"> </w:t>
      </w:r>
      <w:r>
        <w:t xml:space="preserve">Each proxy indicator has been rescaled using the following formula: </w:t>
      </w:r>
    </w:p>
    <w:p w14:paraId="557DDE0E" w14:textId="77777777" w:rsidR="001A21B2" w:rsidRDefault="001A21B2" w:rsidP="001A21B2">
      <m:oMathPara>
        <m:oMath>
          <m:r>
            <w:rPr>
              <w:rFonts w:ascii="Cambria Math" w:hAnsi="Cambria Math"/>
            </w:rPr>
            <m:t>rescaled indicator=</m:t>
          </m:r>
          <m:f>
            <m:fPr>
              <m:ctrlPr>
                <w:rPr>
                  <w:rFonts w:ascii="Cambria Math" w:hAnsi="Cambria Math"/>
                  <w:i/>
                </w:rPr>
              </m:ctrlPr>
            </m:fPr>
            <m:num>
              <m:r>
                <w:rPr>
                  <w:rFonts w:ascii="Cambria Math" w:hAnsi="Cambria Math"/>
                </w:rPr>
                <m:t xml:space="preserve">indicator-2.5th percentile </m:t>
              </m:r>
            </m:num>
            <m:den>
              <m:r>
                <w:rPr>
                  <w:rFonts w:ascii="Cambria Math" w:hAnsi="Cambria Math"/>
                </w:rPr>
                <m:t>97.5th percentile-2.5th percentile</m:t>
              </m:r>
            </m:den>
          </m:f>
        </m:oMath>
      </m:oMathPara>
    </w:p>
    <w:p w14:paraId="58BCA0B7" w14:textId="77777777" w:rsidR="001A21B2" w:rsidRDefault="001A21B2" w:rsidP="001A21B2">
      <w:r>
        <w:t xml:space="preserve">Rescaling transforms proxy measures into an approximate scale of effective coverage from 0% to 100% </w:t>
      </w:r>
      <w:r w:rsidRPr="00DC2CB8">
        <w:t>if the best performing country over the time interval 1990 to 2017 has 100% effective</w:t>
      </w:r>
      <w:r>
        <w:t xml:space="preserve"> coverage and the lowest has 0% coverage.</w:t>
      </w:r>
      <w:r w:rsidDel="00D02C5D">
        <w:t xml:space="preserve"> </w:t>
      </w:r>
      <w:r>
        <w:t>The 2.5</w:t>
      </w:r>
      <w:r w:rsidRPr="00DC2CB8">
        <w:rPr>
          <w:vertAlign w:val="superscript"/>
        </w:rPr>
        <w:t>th</w:t>
      </w:r>
      <w:r>
        <w:t xml:space="preserve"> and 97.5</w:t>
      </w:r>
      <w:r w:rsidRPr="00DC2CB8">
        <w:rPr>
          <w:vertAlign w:val="superscript"/>
        </w:rPr>
        <w:t>th</w:t>
      </w:r>
      <w:r>
        <w:t xml:space="preserve"> percentiles are used rather than maximum and minimum values to avoid measurement error in extreme cases distorting the rescale.</w:t>
      </w:r>
      <w:r w:rsidDel="00D02C5D">
        <w:t xml:space="preserve"> </w:t>
      </w:r>
    </w:p>
    <w:p w14:paraId="576E8052" w14:textId="0400100D" w:rsidR="001A21B2" w:rsidRDefault="001A21B2" w:rsidP="001A21B2">
      <w:pPr>
        <w:pStyle w:val="Heading3"/>
      </w:pPr>
      <w:r>
        <w:t>Estimates for a benchmark year</w:t>
      </w:r>
      <w:r w:rsidR="00D0004D">
        <w:t xml:space="preserve"> and missing values</w:t>
      </w:r>
    </w:p>
    <w:p w14:paraId="453D9C96" w14:textId="4031E98E" w:rsidR="001A21B2" w:rsidRDefault="001A21B2" w:rsidP="001A21B2">
      <w:r>
        <w:t xml:space="preserve">UHC service coverage must be measured for each year in each location but data sources may come from many different years. </w:t>
      </w:r>
      <w:r w:rsidR="00994FE1">
        <w:t xml:space="preserve"> </w:t>
      </w:r>
      <w:r>
        <w:t xml:space="preserve">Three methods </w:t>
      </w:r>
      <w:r w:rsidR="005F44AC">
        <w:t>have been</w:t>
      </w:r>
      <w:r>
        <w:t xml:space="preserve"> used to generate results for a single benchmark year: a) assume no change since the last measurement; b) multiple imputation; and c) estimation using a Bayesian model with covariates and the spatial and temporal correlation of the residuals. </w:t>
      </w:r>
      <w:r w:rsidR="005F44AC">
        <w:t xml:space="preserve"> </w:t>
      </w:r>
      <w:r>
        <w:t xml:space="preserve">The three methods </w:t>
      </w:r>
      <w:r w:rsidR="005F44AC">
        <w:t xml:space="preserve">have been formally evaluated </w:t>
      </w:r>
      <w:r>
        <w:t xml:space="preserve">by holding out the last measurement and assessing out-of-sample predictive validity (PV). </w:t>
      </w:r>
      <w:r w:rsidR="00994FE1">
        <w:t xml:space="preserve"> </w:t>
      </w:r>
      <w:r>
        <w:t xml:space="preserve">PV was substantially better for the Bayesian </w:t>
      </w:r>
      <w:r w:rsidR="005F44AC">
        <w:t>mode;</w:t>
      </w:r>
      <w:r>
        <w:t xml:space="preserve"> and the no change </w:t>
      </w:r>
      <w:r w:rsidR="005F44AC">
        <w:t xml:space="preserve">since the last measurement </w:t>
      </w:r>
      <w:r>
        <w:t xml:space="preserve">had particularly poor PV. Hence the better performing method </w:t>
      </w:r>
      <w:r w:rsidR="005F44AC">
        <w:t xml:space="preserve">should be </w:t>
      </w:r>
      <w:r>
        <w:t xml:space="preserve">used to generate UHC service coverage results for a given benchmark year. </w:t>
      </w:r>
    </w:p>
    <w:p w14:paraId="651FAF51" w14:textId="46C12C98" w:rsidR="00D0004D" w:rsidRDefault="00D0004D" w:rsidP="001A21B2">
      <w:r>
        <w:t xml:space="preserve">The same logic applies to dealing with missing values.  Where a country has no data on an indicator, the value for that indicator can be approximated using: a) regional median values; b) Bayesian statistical models using covariates and spatial and temporal correlations and c) multiple imputation.  Predictive validity testing demonstrates that the Bayesian statistical models perform best for these situations. </w:t>
      </w:r>
    </w:p>
    <w:p w14:paraId="67ACF551" w14:textId="77777777" w:rsidR="001A21B2" w:rsidRDefault="001A21B2" w:rsidP="001A21B2">
      <w:pPr>
        <w:pStyle w:val="Heading2"/>
      </w:pPr>
      <w:r>
        <w:t>Aggregation</w:t>
      </w:r>
    </w:p>
    <w:p w14:paraId="714C018F" w14:textId="1E66E54B" w:rsidR="001A21B2" w:rsidRDefault="001A21B2" w:rsidP="001A21B2">
      <w:r>
        <w:t>Previous efforts to measure UHC service coverage by WHO, Word Bank, and the G</w:t>
      </w:r>
      <w:r w:rsidR="003A5942">
        <w:t xml:space="preserve">lobal </w:t>
      </w:r>
      <w:r>
        <w:t>B</w:t>
      </w:r>
      <w:r w:rsidR="003A5942">
        <w:t xml:space="preserve">urden of </w:t>
      </w:r>
      <w:r>
        <w:t>D</w:t>
      </w:r>
      <w:r w:rsidR="003A5942">
        <w:t>isease</w:t>
      </w:r>
      <w:r>
        <w:t xml:space="preserve"> collaboration used geometric means and arithmetic means to construct a summary index measure</w:t>
      </w:r>
      <w:r w:rsidR="003A5942">
        <w:t>. T</w:t>
      </w:r>
      <w:r>
        <w:t xml:space="preserve">his ultimately results in the arbitrary weighting of individual indicators. </w:t>
      </w:r>
      <w:r w:rsidR="00994FE1">
        <w:t xml:space="preserve"> </w:t>
      </w:r>
      <w:r w:rsidR="005F44AC">
        <w:t>Some studies have</w:t>
      </w:r>
      <w:r>
        <w:t xml:space="preserve"> applied principal components analysis as their method of selecting weights for aggregation, which </w:t>
      </w:r>
      <w:r w:rsidR="00207343">
        <w:t>considers</w:t>
      </w:r>
      <w:r>
        <w:t xml:space="preserve"> potential correlations between individual indicators but also yields arbitrary weights. </w:t>
      </w:r>
      <w:r w:rsidR="00994FE1">
        <w:t xml:space="preserve"> </w:t>
      </w:r>
      <w:r>
        <w:t xml:space="preserve">Neither approach incorporates the relative importance of different interventions in different settings for improving population health. </w:t>
      </w:r>
      <w:r w:rsidR="00994FE1">
        <w:t xml:space="preserve"> </w:t>
      </w:r>
      <w:r>
        <w:t xml:space="preserve">The effective coverage conceptual framework adopted here provides a principled basis for aggregation across indicators in the matrix. </w:t>
      </w:r>
      <w:r w:rsidR="00994FE1">
        <w:t xml:space="preserve"> </w:t>
      </w:r>
      <w:r>
        <w:t xml:space="preserve">Health system effective coverage is the fraction of total possible health gain that the system can deliver in a location in a given year that is delivered. In other words, we would want to weight indicators in proportion to the health gain that each intervention set could potentially deliver in a given population. </w:t>
      </w:r>
      <w:r w:rsidR="00994FE1">
        <w:t xml:space="preserve"> </w:t>
      </w:r>
      <w:r>
        <w:t>These weights would, in theory, vary by location in accordance with its corresponding need for interventions</w:t>
      </w:r>
      <w:r w:rsidR="003A5942">
        <w:t>,</w:t>
      </w:r>
      <w:r>
        <w:t xml:space="preserve"> demographic composition</w:t>
      </w:r>
      <w:r w:rsidR="003A5942">
        <w:t xml:space="preserve"> and epidemiology of health conditions</w:t>
      </w:r>
      <w:r>
        <w:t xml:space="preserve">. </w:t>
      </w:r>
      <w:r w:rsidR="00994FE1">
        <w:t xml:space="preserve"> </w:t>
      </w:r>
      <w:r>
        <w:t>For instance, a country with very few women at risk of maternal mortality due to low fertility rates and a relatively older age structure would have a smaller potential health gain through high quality maternal health care than a country with a comparatively young population and higher fertility rates.</w:t>
      </w:r>
    </w:p>
    <w:p w14:paraId="0BE4C2B0" w14:textId="6D09B384" w:rsidR="001A21B2" w:rsidRDefault="001A21B2" w:rsidP="001A21B2">
      <w:pPr>
        <w:spacing w:after="0"/>
      </w:pPr>
      <w:r>
        <w:t xml:space="preserve">To simplify the computation of health gain weights and to avoid risks in future cycles of aggregation of major changes in the </w:t>
      </w:r>
      <w:r w:rsidRPr="00961D6F">
        <w:t xml:space="preserve">weights, interventions are divided into five categories of effectiveness from 1 </w:t>
      </w:r>
      <w:r>
        <w:t xml:space="preserve">(80-100% effective) </w:t>
      </w:r>
      <w:r w:rsidRPr="00961D6F">
        <w:t xml:space="preserve">to 5 </w:t>
      </w:r>
      <w:r>
        <w:t>(0-20% effective)</w:t>
      </w:r>
      <w:r w:rsidRPr="00961D6F">
        <w:t xml:space="preserve">. </w:t>
      </w:r>
      <w:r w:rsidR="00994FE1">
        <w:t xml:space="preserve"> </w:t>
      </w:r>
      <w:r w:rsidR="00BF28EE">
        <w:t>A</w:t>
      </w:r>
      <w:r w:rsidRPr="00961D6F">
        <w:t xml:space="preserve"> category of effectiveness is assigned to the set of interventions tracked by each indicator. </w:t>
      </w:r>
      <w:r w:rsidR="00994FE1">
        <w:t xml:space="preserve"> </w:t>
      </w:r>
      <w:r w:rsidRPr="00961D6F">
        <w:t>The</w:t>
      </w:r>
      <w:r>
        <w:t xml:space="preserve"> assignment is based on consideration of the Cochrane database of over 7,500 systematic reviews and the Tufts registry of 621 cost per DALY and 6,098 costs per QALY cost-effectiveness studies.  For all interventions assigned to a category, we use the midpoint estimate of effectiveness for that category. </w:t>
      </w:r>
      <w:r w:rsidR="00994FE1">
        <w:t xml:space="preserve"> </w:t>
      </w:r>
      <w:r>
        <w:t xml:space="preserve">For example, the age-standardised maternal mortality rate is used to track prenatal care, emergency obstetric care and post-natal care that reduces the risk of maternal death. </w:t>
      </w:r>
      <w:r w:rsidR="00994FE1">
        <w:t xml:space="preserve"> </w:t>
      </w:r>
      <w:r>
        <w:t xml:space="preserve">Effective care can reduce the maternal mortality rate to very low levels implying that the package of maternal care interventions would be category 1. </w:t>
      </w:r>
    </w:p>
    <w:p w14:paraId="620D979A" w14:textId="77777777" w:rsidR="001A21B2" w:rsidRDefault="001A21B2" w:rsidP="001A21B2">
      <w:pPr>
        <w:spacing w:after="0"/>
      </w:pPr>
    </w:p>
    <w:p w14:paraId="45AF5FA9" w14:textId="77777777" w:rsidR="00994FE1" w:rsidRDefault="001A21B2" w:rsidP="001A21B2">
      <w:r>
        <w:t>The potential health gain associated with an intervention can thus be quantified as the total related burden in the absence of the intervention, subtracting out the portion that is</w:t>
      </w:r>
      <w:r w:rsidR="00994FE1">
        <w:t xml:space="preserve"> unavertable due to inefficacy.</w:t>
      </w:r>
    </w:p>
    <w:p w14:paraId="31E45193" w14:textId="77777777" w:rsidR="00994FE1" w:rsidRDefault="00994FE1" w:rsidP="001A21B2"/>
    <w:p w14:paraId="4F667020" w14:textId="77777777" w:rsidR="00994FE1" w:rsidRDefault="00994FE1" w:rsidP="001A21B2"/>
    <w:p w14:paraId="3E7DDB97" w14:textId="7DCB79A6" w:rsidR="001A21B2" w:rsidRDefault="00994FE1" w:rsidP="001A21B2">
      <w:r>
        <w:t>F</w:t>
      </w:r>
      <w:r w:rsidR="001A21B2">
        <w:t xml:space="preserve">ollowing formulae </w:t>
      </w:r>
      <w:r w:rsidR="003A5942">
        <w:t>are</w:t>
      </w:r>
      <w:r>
        <w:t xml:space="preserve"> used for </w:t>
      </w:r>
      <w:r w:rsidR="003A5942">
        <w:t xml:space="preserve">the </w:t>
      </w:r>
      <w:r w:rsidR="001A21B2">
        <w:t>ca</w:t>
      </w:r>
      <w:r>
        <w:t>lculation</w:t>
      </w:r>
      <w:r w:rsidR="001A21B2">
        <w:t>:</w:t>
      </w:r>
    </w:p>
    <w:p w14:paraId="7D5E183A" w14:textId="77777777" w:rsidR="001A21B2" w:rsidRPr="004D1C6E" w:rsidRDefault="007F6EAE" w:rsidP="001A21B2">
      <w:pPr>
        <w:rPr>
          <w:iCs/>
        </w:rPr>
      </w:pPr>
      <m:oMathPara>
        <m:oMath>
          <m:sSub>
            <m:sSubPr>
              <m:ctrlPr>
                <w:rPr>
                  <w:rFonts w:ascii="Cambria Math" w:hAnsi="Cambria Math"/>
                  <w:i/>
                  <w:iCs/>
                </w:rPr>
              </m:ctrlPr>
            </m:sSubPr>
            <m:e>
              <m:r>
                <w:rPr>
                  <w:rFonts w:ascii="Cambria Math" w:hAnsi="Cambria Math"/>
                </w:rPr>
                <m:t>maximum burden</m:t>
              </m:r>
            </m:e>
            <m:sub>
              <m:r>
                <w:rPr>
                  <w:rFonts w:ascii="Cambria Math" w:hAnsi="Cambria Math"/>
                </w:rPr>
                <m:t>ctpi</m:t>
              </m:r>
            </m:sub>
          </m:sSub>
          <m:r>
            <w:rPr>
              <w:rFonts w:ascii="Cambria Math" w:hAnsi="Cambria Math"/>
            </w:rPr>
            <m:t>= </m:t>
          </m:r>
          <m:f>
            <m:fPr>
              <m:ctrlPr>
                <w:rPr>
                  <w:rFonts w:ascii="Cambria Math" w:hAnsi="Cambria Math"/>
                  <w:i/>
                  <w:iCs/>
                </w:rPr>
              </m:ctrlPr>
            </m:fPr>
            <m:num>
              <m:sSub>
                <m:sSubPr>
                  <m:ctrlPr>
                    <w:rPr>
                      <w:rFonts w:ascii="Cambria Math" w:hAnsi="Cambria Math"/>
                      <w:i/>
                      <w:iCs/>
                    </w:rPr>
                  </m:ctrlPr>
                </m:sSubPr>
                <m:e>
                  <m:r>
                    <w:rPr>
                      <w:rFonts w:ascii="Cambria Math" w:hAnsi="Cambria Math"/>
                    </w:rPr>
                    <m:t>DALY</m:t>
                  </m:r>
                </m:e>
                <m:sub>
                  <m:r>
                    <w:rPr>
                      <w:rFonts w:ascii="Cambria Math" w:hAnsi="Cambria Math"/>
                    </w:rPr>
                    <m:t>ctpi</m:t>
                  </m:r>
                </m:sub>
              </m:sSub>
            </m:num>
            <m:den>
              <m:r>
                <w:rPr>
                  <w:rFonts w:ascii="Cambria Math" w:hAnsi="Cambria Math"/>
                </w:rPr>
                <m:t>1 -</m:t>
              </m:r>
              <m:sSub>
                <m:sSubPr>
                  <m:ctrlPr>
                    <w:rPr>
                      <w:rFonts w:ascii="Cambria Math" w:hAnsi="Cambria Math"/>
                      <w:i/>
                      <w:iCs/>
                    </w:rPr>
                  </m:ctrlPr>
                </m:sSubPr>
                <m:e>
                  <m:r>
                    <w:rPr>
                      <w:rFonts w:ascii="Cambria Math" w:hAnsi="Cambria Math"/>
                    </w:rPr>
                    <m:t>coverage</m:t>
                  </m:r>
                </m:e>
                <m:sub>
                  <m:r>
                    <w:rPr>
                      <w:rFonts w:ascii="Cambria Math" w:hAnsi="Cambria Math"/>
                    </w:rPr>
                    <m:t>ctpi</m:t>
                  </m:r>
                </m:sub>
              </m:sSub>
              <m:r>
                <w:rPr>
                  <w:rFonts w:ascii="Cambria Math" w:hAnsi="Cambria Math"/>
                </w:rPr>
                <m:t>*</m:t>
              </m:r>
              <m:sSub>
                <m:sSubPr>
                  <m:ctrlPr>
                    <w:rPr>
                      <w:rFonts w:ascii="Cambria Math" w:hAnsi="Cambria Math"/>
                      <w:i/>
                      <w:iCs/>
                    </w:rPr>
                  </m:ctrlPr>
                </m:sSubPr>
                <m:e>
                  <m:r>
                    <w:rPr>
                      <w:rFonts w:ascii="Cambria Math" w:hAnsi="Cambria Math"/>
                    </w:rPr>
                    <m:t>efficacy</m:t>
                  </m:r>
                </m:e>
                <m:sub>
                  <m:r>
                    <w:rPr>
                      <w:rFonts w:ascii="Cambria Math" w:hAnsi="Cambria Math"/>
                    </w:rPr>
                    <m:t>pi</m:t>
                  </m:r>
                </m:sub>
              </m:sSub>
            </m:den>
          </m:f>
        </m:oMath>
      </m:oMathPara>
    </w:p>
    <w:p w14:paraId="1DD46A40" w14:textId="77777777" w:rsidR="001A21B2" w:rsidRDefault="007F6EAE" w:rsidP="001A21B2">
      <w:pPr>
        <w:jc w:val="center"/>
        <w:rPr>
          <w:iCs/>
        </w:rPr>
      </w:pPr>
      <m:oMath>
        <m:sSub>
          <m:sSubPr>
            <m:ctrlPr>
              <w:rPr>
                <w:rFonts w:ascii="Cambria Math" w:hAnsi="Cambria Math"/>
                <w:i/>
                <w:iCs/>
              </w:rPr>
            </m:ctrlPr>
          </m:sSubPr>
          <m:e>
            <m:r>
              <w:rPr>
                <w:rFonts w:ascii="Cambria Math" w:hAnsi="Cambria Math"/>
              </w:rPr>
              <m:t>minimum burden</m:t>
            </m:r>
          </m:e>
          <m:sub>
            <m:r>
              <w:rPr>
                <w:rFonts w:ascii="Cambria Math" w:hAnsi="Cambria Math"/>
              </w:rPr>
              <m:t>ctpi</m:t>
            </m:r>
          </m:sub>
        </m:sSub>
      </m:oMath>
      <w:r w:rsidR="001A21B2" w:rsidRPr="004D1C6E">
        <w:rPr>
          <w:iCs/>
        </w:rPr>
        <w:t xml:space="preserve"> = </w:t>
      </w:r>
      <m:oMath>
        <m:sSub>
          <m:sSubPr>
            <m:ctrlPr>
              <w:rPr>
                <w:rFonts w:ascii="Cambria Math" w:hAnsi="Cambria Math"/>
                <w:i/>
                <w:iCs/>
              </w:rPr>
            </m:ctrlPr>
          </m:sSubPr>
          <m:e>
            <m:r>
              <w:rPr>
                <w:rFonts w:ascii="Cambria Math" w:hAnsi="Cambria Math"/>
              </w:rPr>
              <m:t>maximum burden</m:t>
            </m:r>
          </m:e>
          <m:sub>
            <m:r>
              <w:rPr>
                <w:rFonts w:ascii="Cambria Math" w:hAnsi="Cambria Math"/>
              </w:rPr>
              <m:t>ctpi</m:t>
            </m:r>
          </m:sub>
        </m:sSub>
        <m:r>
          <m:rPr>
            <m:sty m:val="p"/>
          </m:rPr>
          <w:rPr>
            <w:rFonts w:ascii="Cambria Math" w:hAnsi="Cambria Math"/>
          </w:rPr>
          <m:t> * (</m:t>
        </m:r>
        <m:r>
          <w:rPr>
            <w:rFonts w:ascii="Cambria Math" w:hAnsi="Cambria Math"/>
          </w:rPr>
          <m:t>1 -</m:t>
        </m:r>
        <m:sSub>
          <m:sSubPr>
            <m:ctrlPr>
              <w:rPr>
                <w:rFonts w:ascii="Cambria Math" w:hAnsi="Cambria Math"/>
                <w:i/>
                <w:iCs/>
              </w:rPr>
            </m:ctrlPr>
          </m:sSubPr>
          <m:e>
            <m:r>
              <w:rPr>
                <w:rFonts w:ascii="Cambria Math" w:hAnsi="Cambria Math"/>
              </w:rPr>
              <m:t>efficacy</m:t>
            </m:r>
          </m:e>
          <m:sub>
            <m:r>
              <w:rPr>
                <w:rFonts w:ascii="Cambria Math" w:hAnsi="Cambria Math"/>
              </w:rPr>
              <m:t>pi</m:t>
            </m:r>
          </m:sub>
        </m:sSub>
        <m:r>
          <w:rPr>
            <w:rFonts w:ascii="Cambria Math" w:hAnsi="Cambria Math"/>
          </w:rPr>
          <m:t>)</m:t>
        </m:r>
      </m:oMath>
    </w:p>
    <w:p w14:paraId="78FCD26B" w14:textId="77777777" w:rsidR="001A21B2" w:rsidRPr="00ED741D" w:rsidRDefault="007F6EAE" w:rsidP="001A21B2">
      <w:pPr>
        <w:jc w:val="center"/>
        <w:rPr>
          <w:iCs/>
          <w:lang w:val="en-US"/>
        </w:rPr>
      </w:pPr>
      <m:oMath>
        <m:sSub>
          <m:sSubPr>
            <m:ctrlPr>
              <w:rPr>
                <w:rFonts w:ascii="Cambria Math" w:hAnsi="Cambria Math"/>
                <w:i/>
                <w:iCs/>
                <w:lang w:val="en-US"/>
              </w:rPr>
            </m:ctrlPr>
          </m:sSubPr>
          <m:e>
            <m:r>
              <w:rPr>
                <w:rFonts w:ascii="Cambria Math" w:hAnsi="Cambria Math"/>
                <w:lang w:val="en-US"/>
              </w:rPr>
              <m:t>health gain</m:t>
            </m:r>
          </m:e>
          <m:sub>
            <m:r>
              <w:rPr>
                <w:rFonts w:ascii="Cambria Math" w:hAnsi="Cambria Math"/>
                <w:lang w:val="en-US"/>
              </w:rPr>
              <m:t>ctpi</m:t>
            </m:r>
          </m:sub>
        </m:sSub>
      </m:oMath>
      <w:r w:rsidR="001A21B2" w:rsidRPr="00DC0675">
        <w:rPr>
          <w:iCs/>
          <w:lang w:val="en-US"/>
        </w:rPr>
        <w:t xml:space="preserve"> =</w:t>
      </w:r>
      <w:r w:rsidR="001A21B2">
        <w:rPr>
          <w:iCs/>
          <w:lang w:val="en-US"/>
        </w:rPr>
        <w:t xml:space="preserve"> </w:t>
      </w:r>
      <m:oMath>
        <m:sSub>
          <m:sSubPr>
            <m:ctrlPr>
              <w:rPr>
                <w:rFonts w:ascii="Cambria Math" w:hAnsi="Cambria Math"/>
                <w:i/>
                <w:iCs/>
                <w:lang w:val="en-US"/>
              </w:rPr>
            </m:ctrlPr>
          </m:sSubPr>
          <m:e>
            <m:r>
              <w:rPr>
                <w:rFonts w:ascii="Cambria Math" w:hAnsi="Cambria Math"/>
                <w:lang w:val="en-US"/>
              </w:rPr>
              <m:t>maximum burden</m:t>
            </m:r>
          </m:e>
          <m:sub>
            <m:r>
              <w:rPr>
                <w:rFonts w:ascii="Cambria Math" w:hAnsi="Cambria Math"/>
                <w:lang w:val="en-US"/>
              </w:rPr>
              <m:t>ctpi</m:t>
            </m:r>
          </m:sub>
        </m:sSub>
      </m:oMath>
      <w:r w:rsidR="001A21B2">
        <w:rPr>
          <w:iCs/>
          <w:lang w:val="en-US"/>
        </w:rPr>
        <w:t xml:space="preserve"> </w:t>
      </w:r>
      <m:oMath>
        <m:r>
          <w:rPr>
            <w:rFonts w:ascii="Cambria Math" w:hAnsi="Cambria Math"/>
          </w:rPr>
          <m:t>-</m:t>
        </m:r>
      </m:oMath>
      <w:r w:rsidR="001A21B2">
        <w:rPr>
          <w:iCs/>
          <w:lang w:val="en-US"/>
        </w:rPr>
        <w:t xml:space="preserve"> </w:t>
      </w:r>
      <m:oMath>
        <m:sSub>
          <m:sSubPr>
            <m:ctrlPr>
              <w:rPr>
                <w:rFonts w:ascii="Cambria Math" w:hAnsi="Cambria Math"/>
                <w:i/>
                <w:iCs/>
                <w:lang w:val="en-US"/>
              </w:rPr>
            </m:ctrlPr>
          </m:sSubPr>
          <m:e>
            <m:r>
              <w:rPr>
                <w:rFonts w:ascii="Cambria Math" w:hAnsi="Cambria Math"/>
                <w:lang w:val="en-US"/>
              </w:rPr>
              <m:t>minimum burden</m:t>
            </m:r>
          </m:e>
          <m:sub>
            <m:r>
              <w:rPr>
                <w:rFonts w:ascii="Cambria Math" w:hAnsi="Cambria Math"/>
                <w:lang w:val="en-US"/>
              </w:rPr>
              <m:t>ctpi</m:t>
            </m:r>
          </m:sub>
        </m:sSub>
      </m:oMath>
    </w:p>
    <w:p w14:paraId="1621436B" w14:textId="4FE5E74F" w:rsidR="001A21B2" w:rsidRDefault="001A21B2" w:rsidP="001A21B2">
      <w:pPr>
        <w:rPr>
          <w:iCs/>
        </w:rPr>
      </w:pPr>
      <w:r>
        <w:rPr>
          <w:iCs/>
        </w:rPr>
        <w:t xml:space="preserve">Where theoretical maximum related burden in country </w:t>
      </w:r>
      <m:oMath>
        <m:r>
          <w:rPr>
            <w:rFonts w:ascii="Cambria Math" w:hAnsi="Cambria Math"/>
          </w:rPr>
          <m:t>c</m:t>
        </m:r>
      </m:oMath>
      <w:r>
        <w:rPr>
          <w:iCs/>
        </w:rPr>
        <w:t xml:space="preserve"> and time </w:t>
      </w:r>
      <m:oMath>
        <m:r>
          <w:rPr>
            <w:rFonts w:ascii="Cambria Math" w:hAnsi="Cambria Math"/>
          </w:rPr>
          <m:t>t</m:t>
        </m:r>
      </m:oMath>
      <w:r>
        <w:rPr>
          <w:iCs/>
        </w:rPr>
        <w:t xml:space="preserve"> for population age group </w:t>
      </w:r>
      <m:oMath>
        <m:r>
          <w:rPr>
            <w:rFonts w:ascii="Cambria Math" w:hAnsi="Cambria Math"/>
          </w:rPr>
          <m:t>p</m:t>
        </m:r>
      </m:oMath>
      <w:r>
        <w:rPr>
          <w:iCs/>
        </w:rPr>
        <w:t xml:space="preserve"> and intervention </w:t>
      </w:r>
      <m:oMath>
        <m:r>
          <w:rPr>
            <w:rFonts w:ascii="Cambria Math" w:hAnsi="Cambria Math"/>
          </w:rPr>
          <m:t>i</m:t>
        </m:r>
      </m:oMath>
      <w:r>
        <w:rPr>
          <w:iCs/>
        </w:rPr>
        <w:t xml:space="preserve"> is a function of the observed D</w:t>
      </w:r>
      <w:r w:rsidR="003A5942">
        <w:rPr>
          <w:iCs/>
        </w:rPr>
        <w:t xml:space="preserve">isability </w:t>
      </w:r>
      <w:r>
        <w:rPr>
          <w:iCs/>
        </w:rPr>
        <w:t>A</w:t>
      </w:r>
      <w:r w:rsidR="003A5942">
        <w:rPr>
          <w:iCs/>
        </w:rPr>
        <w:t xml:space="preserve">djusted </w:t>
      </w:r>
      <w:r>
        <w:rPr>
          <w:iCs/>
        </w:rPr>
        <w:t>L</w:t>
      </w:r>
      <w:r w:rsidR="003A5942">
        <w:rPr>
          <w:iCs/>
        </w:rPr>
        <w:t xml:space="preserve">ife </w:t>
      </w:r>
      <w:r>
        <w:rPr>
          <w:iCs/>
        </w:rPr>
        <w:t>Y</w:t>
      </w:r>
      <w:r w:rsidR="003A5942">
        <w:rPr>
          <w:iCs/>
        </w:rPr>
        <w:t>ear</w:t>
      </w:r>
      <w:r>
        <w:rPr>
          <w:iCs/>
        </w:rPr>
        <w:t>s</w:t>
      </w:r>
      <w:r w:rsidR="003A5942">
        <w:rPr>
          <w:iCs/>
        </w:rPr>
        <w:t xml:space="preserve"> (DALYs)</w:t>
      </w:r>
      <w:r>
        <w:rPr>
          <w:iCs/>
        </w:rPr>
        <w:t>, adjusting for the proportion of the</w:t>
      </w:r>
      <w:r w:rsidRPr="00D7612D">
        <w:rPr>
          <w:iCs/>
        </w:rPr>
        <w:t xml:space="preserve"> </w:t>
      </w:r>
      <w:r>
        <w:rPr>
          <w:iCs/>
        </w:rPr>
        <w:t>population covered by and the efficacy of the intervention</w:t>
      </w:r>
      <m:oMath>
        <m:r>
          <w:rPr>
            <w:rFonts w:ascii="Cambria Math" w:hAnsi="Cambria Math"/>
          </w:rPr>
          <m:t>.</m:t>
        </m:r>
      </m:oMath>
      <w:r>
        <w:rPr>
          <w:iCs/>
        </w:rPr>
        <w:t xml:space="preserve"> We then remove the amount that would remain if coverage were complete, leaving a theoretical minimum burden on the basis of efficacy.</w:t>
      </w:r>
    </w:p>
    <w:p w14:paraId="15240CC2" w14:textId="77777777" w:rsidR="001A21B2" w:rsidRDefault="001A21B2" w:rsidP="001A21B2">
      <w:pPr>
        <w:rPr>
          <w:iCs/>
        </w:rPr>
      </w:pPr>
      <w:r>
        <w:rPr>
          <w:iCs/>
        </w:rPr>
        <w:t>Once we have produced an estimate of health gain associated with UHC service coverage proxy, we combine them to create a summary measure based on the following:</w:t>
      </w:r>
    </w:p>
    <w:p w14:paraId="230A1A63" w14:textId="77777777" w:rsidR="001A21B2" w:rsidRPr="00C17C2C" w:rsidRDefault="007F6EAE" w:rsidP="001A21B2">
      <w:pPr>
        <w:jc w:val="center"/>
        <w:rPr>
          <w:iCs/>
          <w:lang w:val="en-US"/>
        </w:rPr>
      </w:pPr>
      <m:oMathPara>
        <m:oMath>
          <m:sSub>
            <m:sSubPr>
              <m:ctrlPr>
                <w:rPr>
                  <w:rFonts w:ascii="Cambria Math" w:hAnsi="Cambria Math"/>
                  <w:i/>
                  <w:iCs/>
                  <w:lang w:val="en-US"/>
                </w:rPr>
              </m:ctrlPr>
            </m:sSubPr>
            <m:e>
              <m:r>
                <w:rPr>
                  <w:rFonts w:ascii="Cambria Math" w:hAnsi="Cambria Math"/>
                  <w:lang w:val="en-US"/>
                </w:rPr>
                <m:t>health gain fraction</m:t>
              </m:r>
            </m:e>
            <m:sub>
              <m:r>
                <w:rPr>
                  <w:rFonts w:ascii="Cambria Math" w:hAnsi="Cambria Math"/>
                  <w:lang w:val="en-US"/>
                </w:rPr>
                <m:t>ctpi</m:t>
              </m:r>
            </m:sub>
          </m:sSub>
          <m:r>
            <w:rPr>
              <w:rFonts w:ascii="Cambria Math" w:hAnsi="Cambria Math"/>
              <w:lang w:val="en-US"/>
            </w:rPr>
            <m:t>=</m:t>
          </m:r>
          <m:f>
            <m:fPr>
              <m:ctrlPr>
                <w:rPr>
                  <w:rFonts w:ascii="Cambria Math" w:hAnsi="Cambria Math"/>
                  <w:i/>
                  <w:iCs/>
                  <w:lang w:val="en-US"/>
                </w:rPr>
              </m:ctrlPr>
            </m:fPr>
            <m:num>
              <m:sSub>
                <m:sSubPr>
                  <m:ctrlPr>
                    <w:rPr>
                      <w:rFonts w:ascii="Cambria Math" w:hAnsi="Cambria Math"/>
                      <w:i/>
                      <w:iCs/>
                      <w:lang w:val="en-US"/>
                    </w:rPr>
                  </m:ctrlPr>
                </m:sSubPr>
                <m:e>
                  <m:r>
                    <w:rPr>
                      <w:rFonts w:ascii="Cambria Math" w:hAnsi="Cambria Math"/>
                      <w:lang w:val="en-US"/>
                    </w:rPr>
                    <m:t>health gain</m:t>
                  </m:r>
                </m:e>
                <m:sub>
                  <m:r>
                    <w:rPr>
                      <w:rFonts w:ascii="Cambria Math" w:hAnsi="Cambria Math"/>
                      <w:lang w:val="en-US"/>
                    </w:rPr>
                    <m:t>ctpi</m:t>
                  </m:r>
                </m:sub>
              </m:sSub>
            </m:num>
            <m:den>
              <m:nary>
                <m:naryPr>
                  <m:chr m:val="∑"/>
                  <m:supHide m:val="1"/>
                  <m:ctrlPr>
                    <w:rPr>
                      <w:rFonts w:ascii="Cambria Math" w:hAnsi="Cambria Math"/>
                      <w:i/>
                      <w:iCs/>
                      <w:lang w:val="en-US"/>
                    </w:rPr>
                  </m:ctrlPr>
                </m:naryPr>
                <m:sub>
                  <m:r>
                    <w:rPr>
                      <w:rFonts w:ascii="Cambria Math" w:hAnsi="Cambria Math"/>
                      <w:lang w:val="en-US"/>
                    </w:rPr>
                    <m:t>pi</m:t>
                  </m:r>
                </m:sub>
                <m:sup/>
                <m:e>
                  <m:sSub>
                    <m:sSubPr>
                      <m:ctrlPr>
                        <w:rPr>
                          <w:rFonts w:ascii="Cambria Math" w:hAnsi="Cambria Math"/>
                          <w:i/>
                          <w:iCs/>
                          <w:lang w:val="en-US"/>
                        </w:rPr>
                      </m:ctrlPr>
                    </m:sSubPr>
                    <m:e>
                      <m:r>
                        <w:rPr>
                          <w:rFonts w:ascii="Cambria Math" w:hAnsi="Cambria Math"/>
                          <w:lang w:val="en-US"/>
                        </w:rPr>
                        <m:t>health gain</m:t>
                      </m:r>
                    </m:e>
                    <m:sub>
                      <m:r>
                        <w:rPr>
                          <w:rFonts w:ascii="Cambria Math" w:hAnsi="Cambria Math"/>
                          <w:lang w:val="en-US"/>
                        </w:rPr>
                        <m:t>ctpi</m:t>
                      </m:r>
                    </m:sub>
                  </m:sSub>
                </m:e>
              </m:nary>
            </m:den>
          </m:f>
        </m:oMath>
      </m:oMathPara>
    </w:p>
    <w:p w14:paraId="55A30C60" w14:textId="77777777" w:rsidR="001A21B2" w:rsidRPr="00497E40" w:rsidRDefault="001A21B2" w:rsidP="001A21B2">
      <w:pPr>
        <w:jc w:val="center"/>
        <w:rPr>
          <w:iCs/>
          <w:lang w:val="en-US"/>
        </w:rPr>
      </w:pPr>
      <m:oMathPara>
        <m:oMath>
          <m:r>
            <w:rPr>
              <w:rFonts w:ascii="Cambria Math" w:hAnsi="Cambria Math"/>
              <w:lang w:val="en-US"/>
            </w:rPr>
            <m:t>health gain </m:t>
          </m:r>
          <m:sSub>
            <m:sSubPr>
              <m:ctrlPr>
                <w:rPr>
                  <w:rFonts w:ascii="Cambria Math" w:hAnsi="Cambria Math"/>
                  <w:i/>
                  <w:iCs/>
                  <w:lang w:val="en-US"/>
                </w:rPr>
              </m:ctrlPr>
            </m:sSubPr>
            <m:e>
              <m:r>
                <w:rPr>
                  <w:rFonts w:ascii="Cambria Math" w:hAnsi="Cambria Math"/>
                  <w:lang w:val="en-US"/>
                </w:rPr>
                <m:t>weight</m:t>
              </m:r>
            </m:e>
            <m:sub>
              <m:r>
                <w:rPr>
                  <w:rFonts w:ascii="Cambria Math" w:hAnsi="Cambria Math"/>
                  <w:lang w:val="en-US"/>
                </w:rPr>
                <m:t>qct</m:t>
              </m:r>
            </m:sub>
          </m:sSub>
          <m:r>
            <w:rPr>
              <w:rFonts w:ascii="Cambria Math" w:hAnsi="Cambria Math"/>
              <w:lang w:val="en-US"/>
            </w:rPr>
            <m:t>=</m:t>
          </m:r>
          <m:f>
            <m:fPr>
              <m:ctrlPr>
                <w:rPr>
                  <w:rFonts w:ascii="Cambria Math" w:hAnsi="Cambria Math"/>
                  <w:i/>
                  <w:lang w:val="en-US"/>
                </w:rPr>
              </m:ctrlPr>
            </m:fPr>
            <m:num>
              <m:r>
                <w:rPr>
                  <w:rFonts w:ascii="Cambria Math" w:hAnsi="Cambria Math"/>
                  <w:lang w:val="en-US"/>
                </w:rPr>
                <m:t>1</m:t>
              </m:r>
            </m:num>
            <m:den>
              <m:r>
                <w:rPr>
                  <w:rFonts w:ascii="Cambria Math" w:hAnsi="Cambria Math"/>
                  <w:lang w:val="en-US"/>
                </w:rPr>
                <m:t>n</m:t>
              </m:r>
            </m:den>
          </m:f>
          <m:nary>
            <m:naryPr>
              <m:chr m:val="∑"/>
              <m:limLoc m:val="undOvr"/>
              <m:ctrlPr>
                <w:rPr>
                  <w:rFonts w:ascii="Cambria Math" w:hAnsi="Cambria Math"/>
                  <w:i/>
                  <w:lang w:val="en-US"/>
                </w:rPr>
              </m:ctrlPr>
            </m:naryPr>
            <m:sub>
              <m:r>
                <w:rPr>
                  <w:rFonts w:ascii="Cambria Math" w:hAnsi="Cambria Math"/>
                  <w:lang w:val="en-US"/>
                </w:rPr>
                <m:t>pi=1</m:t>
              </m:r>
            </m:sub>
            <m:sup>
              <m:r>
                <w:rPr>
                  <w:rFonts w:ascii="Cambria Math" w:hAnsi="Cambria Math"/>
                  <w:lang w:val="en-US"/>
                </w:rPr>
                <m:t>n</m:t>
              </m:r>
            </m:sup>
            <m:e>
              <m:sSub>
                <m:sSubPr>
                  <m:ctrlPr>
                    <w:rPr>
                      <w:rFonts w:ascii="Cambria Math" w:hAnsi="Cambria Math"/>
                      <w:i/>
                      <w:iCs/>
                      <w:lang w:val="en-US"/>
                    </w:rPr>
                  </m:ctrlPr>
                </m:sSubPr>
                <m:e>
                  <m:r>
                    <w:rPr>
                      <w:rFonts w:ascii="Cambria Math" w:hAnsi="Cambria Math"/>
                      <w:lang w:val="en-US"/>
                    </w:rPr>
                    <m:t>health gain fraction</m:t>
                  </m:r>
                </m:e>
                <m:sub>
                  <m:r>
                    <w:rPr>
                      <w:rFonts w:ascii="Cambria Math" w:hAnsi="Cambria Math"/>
                      <w:lang w:val="en-US"/>
                    </w:rPr>
                    <m:t>ctpiq</m:t>
                  </m:r>
                </m:sub>
              </m:sSub>
            </m:e>
          </m:nary>
        </m:oMath>
      </m:oMathPara>
    </w:p>
    <w:p w14:paraId="6B1E927E" w14:textId="77777777" w:rsidR="001A21B2" w:rsidRPr="00A06803" w:rsidRDefault="007F6EAE" w:rsidP="001A21B2">
      <w:pPr>
        <w:jc w:val="center"/>
        <w:rPr>
          <w:iCs/>
          <w:lang w:val="en-US"/>
        </w:rPr>
      </w:pPr>
      <m:oMathPara>
        <m:oMath>
          <m:sSub>
            <m:sSubPr>
              <m:ctrlPr>
                <w:rPr>
                  <w:rFonts w:ascii="Cambria Math" w:hAnsi="Cambria Math"/>
                  <w:i/>
                  <w:iCs/>
                  <w:lang w:val="en-US"/>
                </w:rPr>
              </m:ctrlPr>
            </m:sSubPr>
            <m:e>
              <m:r>
                <w:rPr>
                  <w:rFonts w:ascii="Cambria Math" w:hAnsi="Cambria Math"/>
                  <w:lang w:val="en-US"/>
                </w:rPr>
                <m:t>UHC service coverage</m:t>
              </m:r>
            </m:e>
            <m:sub>
              <m:r>
                <w:rPr>
                  <w:rFonts w:ascii="Cambria Math" w:hAnsi="Cambria Math"/>
                  <w:lang w:val="en-US"/>
                </w:rPr>
                <m:t>ct</m:t>
              </m:r>
            </m:sub>
          </m:sSub>
          <m:r>
            <w:rPr>
              <w:rFonts w:ascii="Cambria Math" w:hAnsi="Cambria Math"/>
              <w:lang w:val="en-US"/>
            </w:rPr>
            <m:t>=</m:t>
          </m:r>
          <m:nary>
            <m:naryPr>
              <m:chr m:val="∑"/>
              <m:limLoc m:val="subSup"/>
              <m:supHide m:val="1"/>
              <m:ctrlPr>
                <w:rPr>
                  <w:rFonts w:ascii="Cambria Math" w:hAnsi="Cambria Math"/>
                  <w:i/>
                  <w:iCs/>
                  <w:lang w:val="en-US"/>
                </w:rPr>
              </m:ctrlPr>
            </m:naryPr>
            <m:sub>
              <m:r>
                <w:rPr>
                  <w:rFonts w:ascii="Cambria Math" w:hAnsi="Cambria Math"/>
                  <w:lang w:val="en-US"/>
                </w:rPr>
                <m:t>pi</m:t>
              </m:r>
            </m:sub>
            <m:sup/>
            <m:e>
              <m:d>
                <m:dPr>
                  <m:ctrlPr>
                    <w:rPr>
                      <w:rFonts w:ascii="Cambria Math" w:hAnsi="Cambria Math"/>
                      <w:i/>
                      <w:iCs/>
                      <w:lang w:val="en-US"/>
                    </w:rPr>
                  </m:ctrlPr>
                </m:dPr>
                <m:e>
                  <m:sSub>
                    <m:sSubPr>
                      <m:ctrlPr>
                        <w:rPr>
                          <w:rFonts w:ascii="Cambria Math" w:hAnsi="Cambria Math"/>
                          <w:i/>
                          <w:iCs/>
                          <w:lang w:val="en-US"/>
                        </w:rPr>
                      </m:ctrlPr>
                    </m:sSubPr>
                    <m:e>
                      <m:r>
                        <w:rPr>
                          <w:rFonts w:ascii="Cambria Math" w:hAnsi="Cambria Math"/>
                          <w:lang w:val="en-US"/>
                        </w:rPr>
                        <m:t>coverage</m:t>
                      </m:r>
                    </m:e>
                    <m:sub>
                      <m:r>
                        <w:rPr>
                          <w:rFonts w:ascii="Cambria Math" w:hAnsi="Cambria Math"/>
                          <w:lang w:val="en-US"/>
                        </w:rPr>
                        <m:t>ctpi</m:t>
                      </m:r>
                    </m:sub>
                  </m:sSub>
                  <m:r>
                    <w:rPr>
                      <w:rFonts w:ascii="Cambria Math" w:hAnsi="Cambria Math"/>
                      <w:lang w:val="en-US"/>
                    </w:rPr>
                    <m:t>*health gain </m:t>
                  </m:r>
                  <m:sSub>
                    <m:sSubPr>
                      <m:ctrlPr>
                        <w:rPr>
                          <w:rFonts w:ascii="Cambria Math" w:hAnsi="Cambria Math"/>
                          <w:i/>
                          <w:iCs/>
                          <w:lang w:val="en-US"/>
                        </w:rPr>
                      </m:ctrlPr>
                    </m:sSubPr>
                    <m:e>
                      <m:r>
                        <w:rPr>
                          <w:rFonts w:ascii="Cambria Math" w:hAnsi="Cambria Math"/>
                          <w:lang w:val="en-US"/>
                        </w:rPr>
                        <m:t>weight</m:t>
                      </m:r>
                    </m:e>
                    <m:sub>
                      <m:r>
                        <w:rPr>
                          <w:rFonts w:ascii="Cambria Math" w:hAnsi="Cambria Math"/>
                          <w:lang w:val="en-US"/>
                        </w:rPr>
                        <m:t>qct</m:t>
                      </m:r>
                    </m:sub>
                  </m:sSub>
                </m:e>
              </m:d>
            </m:e>
          </m:nary>
        </m:oMath>
      </m:oMathPara>
    </w:p>
    <w:p w14:paraId="0EE6E0E4" w14:textId="7B0D123B" w:rsidR="001A21B2" w:rsidRPr="00FD4A00" w:rsidRDefault="001A21B2" w:rsidP="001A21B2">
      <w:pPr>
        <w:rPr>
          <w:iCs/>
        </w:rPr>
      </w:pPr>
      <w:r>
        <w:rPr>
          <w:iCs/>
          <w:lang w:val="en-US"/>
        </w:rPr>
        <w:t xml:space="preserve">Where the relative significance of a given </w:t>
      </w:r>
      <w:r>
        <w:rPr>
          <w:iCs/>
        </w:rPr>
        <w:t xml:space="preserve">intervention </w:t>
      </w:r>
      <m:oMath>
        <m:r>
          <w:rPr>
            <w:rFonts w:ascii="Cambria Math" w:hAnsi="Cambria Math"/>
          </w:rPr>
          <m:t>i</m:t>
        </m:r>
      </m:oMath>
      <w:r>
        <w:rPr>
          <w:iCs/>
          <w:lang w:val="en-US"/>
        </w:rPr>
        <w:t xml:space="preserve"> in </w:t>
      </w:r>
      <w:r>
        <w:rPr>
          <w:iCs/>
        </w:rPr>
        <w:t xml:space="preserve">population age group </w:t>
      </w:r>
      <m:oMath>
        <m:r>
          <w:rPr>
            <w:rFonts w:ascii="Cambria Math" w:hAnsi="Cambria Math"/>
          </w:rPr>
          <m:t>p</m:t>
        </m:r>
      </m:oMath>
      <w:r>
        <w:rPr>
          <w:iCs/>
          <w:lang w:val="en-US"/>
        </w:rPr>
        <w:t xml:space="preserve"> is first requires calculating the fraction of total potential health gain in </w:t>
      </w:r>
      <w:r>
        <w:rPr>
          <w:iCs/>
        </w:rPr>
        <w:t xml:space="preserve">country </w:t>
      </w:r>
      <m:oMath>
        <m:r>
          <w:rPr>
            <w:rFonts w:ascii="Cambria Math" w:hAnsi="Cambria Math"/>
          </w:rPr>
          <m:t>c</m:t>
        </m:r>
      </m:oMath>
      <w:r>
        <w:rPr>
          <w:iCs/>
        </w:rPr>
        <w:t xml:space="preserve"> and time </w:t>
      </w:r>
      <m:oMath>
        <m:r>
          <w:rPr>
            <w:rFonts w:ascii="Cambria Math" w:hAnsi="Cambria Math"/>
          </w:rPr>
          <m:t>t</m:t>
        </m:r>
      </m:oMath>
      <w:r>
        <w:rPr>
          <w:iCs/>
        </w:rPr>
        <w:t xml:space="preserve"> across all age group-specific interventions</w:t>
      </w:r>
      <w:r>
        <w:rPr>
          <w:iCs/>
          <w:lang w:val="en-US"/>
        </w:rPr>
        <w:t xml:space="preserve">. </w:t>
      </w:r>
      <w:r w:rsidR="00994FE1">
        <w:rPr>
          <w:iCs/>
          <w:lang w:val="en-US"/>
        </w:rPr>
        <w:t xml:space="preserve"> </w:t>
      </w:r>
      <w:r>
        <w:rPr>
          <w:iCs/>
          <w:lang w:val="en-US"/>
        </w:rPr>
        <w:t xml:space="preserve">Next, in order to prevent any one component from contributing too greatly to the composite measure, we group those fractions into quintiles by country and </w:t>
      </w:r>
      <w:r w:rsidR="00207343">
        <w:rPr>
          <w:iCs/>
          <w:lang w:val="en-US"/>
        </w:rPr>
        <w:t>time and</w:t>
      </w:r>
      <w:r>
        <w:rPr>
          <w:iCs/>
          <w:lang w:val="en-US"/>
        </w:rPr>
        <w:t xml:space="preserve"> assign the average fraction of each quintile </w:t>
      </w:r>
      <m:oMath>
        <m:r>
          <w:rPr>
            <w:rFonts w:ascii="Cambria Math" w:hAnsi="Cambria Math"/>
            <w:lang w:val="en-US"/>
          </w:rPr>
          <m:t>q</m:t>
        </m:r>
      </m:oMath>
      <w:r>
        <w:rPr>
          <w:iCs/>
          <w:lang w:val="en-US"/>
        </w:rPr>
        <w:t xml:space="preserve"> to all indicators within. </w:t>
      </w:r>
      <w:r w:rsidR="00994FE1">
        <w:rPr>
          <w:iCs/>
          <w:lang w:val="en-US"/>
        </w:rPr>
        <w:t xml:space="preserve"> </w:t>
      </w:r>
      <w:r>
        <w:rPr>
          <w:iCs/>
          <w:lang w:val="en-US"/>
        </w:rPr>
        <w:t>These health gain weights are applied to the coverage value for each intervention and in each population group to create a weighted average, resulting in a singular estimate of UHC service coverage for a country-time point.</w:t>
      </w:r>
      <w:r w:rsidRPr="00FD4A00">
        <w:t xml:space="preserve"> </w:t>
      </w:r>
    </w:p>
    <w:p w14:paraId="4A4E3AB5" w14:textId="77777777" w:rsidR="001A21B2" w:rsidRPr="009B5732" w:rsidRDefault="001A21B2" w:rsidP="001A21B2">
      <w:pPr>
        <w:pStyle w:val="Heading2"/>
        <w:rPr>
          <w:rFonts w:asciiTheme="minorHAnsi" w:hAnsiTheme="minorHAnsi"/>
        </w:rPr>
      </w:pPr>
      <w:r w:rsidRPr="009B5732">
        <w:rPr>
          <w:rFonts w:asciiTheme="minorHAnsi" w:hAnsiTheme="minorHAnsi"/>
        </w:rPr>
        <w:t>Disaggregation:</w:t>
      </w:r>
    </w:p>
    <w:p w14:paraId="362F0E37" w14:textId="3F815F17" w:rsidR="001A21B2" w:rsidRPr="009B5732" w:rsidRDefault="001A21B2" w:rsidP="001A21B2">
      <w:pPr>
        <w:shd w:val="clear" w:color="auto" w:fill="FFFFFF"/>
        <w:spacing w:after="0"/>
        <w:rPr>
          <w:rFonts w:eastAsia="Times New Roman" w:cs="Times New Roman"/>
          <w:lang w:eastAsia="en-GB"/>
        </w:rPr>
      </w:pPr>
      <w:r w:rsidRPr="009B5732">
        <w:rPr>
          <w:rFonts w:eastAsia="Times New Roman" w:cs="Times New Roman"/>
          <w:lang w:eastAsia="en-GB"/>
        </w:rPr>
        <w:t xml:space="preserve">Equity is central to the definition of UHC, and therefore the UHC service coverage index should be used to communicate information about inequalities in service coverage within countries. </w:t>
      </w:r>
      <w:r w:rsidR="00994FE1">
        <w:rPr>
          <w:rFonts w:eastAsia="Times New Roman" w:cs="Times New Roman"/>
          <w:lang w:eastAsia="en-GB"/>
        </w:rPr>
        <w:t xml:space="preserve"> </w:t>
      </w:r>
      <w:r>
        <w:rPr>
          <w:rFonts w:eastAsia="Times New Roman" w:cs="Times New Roman"/>
          <w:lang w:eastAsia="en-GB"/>
        </w:rPr>
        <w:t>Ideally, t</w:t>
      </w:r>
      <w:r w:rsidRPr="009B5732">
        <w:rPr>
          <w:rFonts w:eastAsia="Times New Roman" w:cs="Times New Roman"/>
          <w:lang w:eastAsia="en-GB"/>
        </w:rPr>
        <w:t xml:space="preserve">his can be done by presenting the index separately for the national population vs. disadvantaged populations to highlight differences between them. </w:t>
      </w:r>
    </w:p>
    <w:p w14:paraId="4641335D" w14:textId="77777777" w:rsidR="001A21B2" w:rsidRPr="009B5732" w:rsidRDefault="001A21B2" w:rsidP="001A21B2">
      <w:pPr>
        <w:shd w:val="clear" w:color="auto" w:fill="FFFFFF"/>
        <w:spacing w:after="0"/>
        <w:rPr>
          <w:rFonts w:eastAsia="Times New Roman" w:cs="Times New Roman"/>
          <w:lang w:eastAsia="en-GB"/>
        </w:rPr>
      </w:pPr>
    </w:p>
    <w:p w14:paraId="4E5C5964" w14:textId="655B4371" w:rsidR="001A21B2" w:rsidRDefault="001A21B2" w:rsidP="001A21B2">
      <w:pPr>
        <w:shd w:val="clear" w:color="auto" w:fill="FFFFFF"/>
        <w:spacing w:after="0"/>
        <w:rPr>
          <w:rFonts w:eastAsia="Times New Roman" w:cs="Times New Roman"/>
          <w:lang w:eastAsia="en-GB"/>
        </w:rPr>
      </w:pPr>
      <w:r w:rsidRPr="009B5732">
        <w:rPr>
          <w:rFonts w:eastAsia="Times New Roman" w:cs="Times New Roman"/>
          <w:lang w:eastAsia="en-GB"/>
        </w:rPr>
        <w:t xml:space="preserve">For countries, geographic location is likely the most feasible dimension for sub-national disaggregation based on average coverage levels measured with existing data sources. It will also be necessary to break down by gender, socio-economic status and rural versus urban settings within countries depending on data availability.  Where it is not feasible for the index to be disaggregated, disaggregation of the tracer indicators </w:t>
      </w:r>
      <w:r w:rsidR="003A5942">
        <w:rPr>
          <w:rFonts w:eastAsia="Times New Roman" w:cs="Times New Roman"/>
          <w:lang w:eastAsia="en-GB"/>
        </w:rPr>
        <w:t xml:space="preserve">will </w:t>
      </w:r>
      <w:r w:rsidRPr="009B5732">
        <w:rPr>
          <w:rFonts w:eastAsia="Times New Roman" w:cs="Times New Roman"/>
          <w:lang w:eastAsia="en-GB"/>
        </w:rPr>
        <w:t>be undertaken.</w:t>
      </w:r>
    </w:p>
    <w:p w14:paraId="19C55C72" w14:textId="43783EC8" w:rsidR="00994FE1" w:rsidRDefault="00994FE1" w:rsidP="001A21B2">
      <w:pPr>
        <w:shd w:val="clear" w:color="auto" w:fill="FFFFFF"/>
        <w:spacing w:after="0"/>
        <w:rPr>
          <w:rFonts w:eastAsia="Times New Roman" w:cs="Times New Roman"/>
          <w:lang w:eastAsia="en-GB"/>
        </w:rPr>
      </w:pPr>
    </w:p>
    <w:p w14:paraId="770D4F6D" w14:textId="77777777" w:rsidR="00994FE1" w:rsidRDefault="00994FE1" w:rsidP="001A21B2">
      <w:pPr>
        <w:shd w:val="clear" w:color="auto" w:fill="FFFFFF"/>
        <w:spacing w:after="0"/>
        <w:rPr>
          <w:rFonts w:eastAsia="Times New Roman" w:cs="Times New Roman"/>
          <w:lang w:eastAsia="en-GB"/>
        </w:rPr>
      </w:pPr>
    </w:p>
    <w:p w14:paraId="711F54BA" w14:textId="77777777" w:rsidR="00207343" w:rsidRPr="009B5732" w:rsidRDefault="00207343" w:rsidP="00207343">
      <w:pPr>
        <w:shd w:val="clear" w:color="auto" w:fill="FFFFFF"/>
        <w:spacing w:after="0"/>
        <w:rPr>
          <w:rFonts w:eastAsiaTheme="majorEastAsia" w:cstheme="majorBidi"/>
          <w:color w:val="365F91" w:themeColor="accent1" w:themeShade="BF"/>
          <w:sz w:val="26"/>
          <w:szCs w:val="26"/>
          <w:lang w:val="en-US" w:eastAsia="en-US"/>
        </w:rPr>
      </w:pPr>
      <w:r>
        <w:rPr>
          <w:rFonts w:eastAsiaTheme="majorEastAsia" w:cstheme="majorBidi"/>
          <w:color w:val="365F91" w:themeColor="accent1" w:themeShade="BF"/>
          <w:sz w:val="26"/>
          <w:szCs w:val="26"/>
          <w:lang w:val="en-US" w:eastAsia="en-US"/>
        </w:rPr>
        <w:t>Treatment of missing values:</w:t>
      </w:r>
    </w:p>
    <w:p w14:paraId="5A0246ED" w14:textId="11FCD72E" w:rsidR="00207343" w:rsidRPr="009B5732" w:rsidRDefault="00207343" w:rsidP="00207343">
      <w:pPr>
        <w:shd w:val="clear" w:color="auto" w:fill="FFFFFF"/>
        <w:tabs>
          <w:tab w:val="left" w:pos="5812"/>
        </w:tabs>
        <w:spacing w:after="0"/>
        <w:rPr>
          <w:rFonts w:eastAsia="Times New Roman" w:cs="Times New Roman"/>
          <w:lang w:eastAsia="en-GB"/>
        </w:rPr>
      </w:pPr>
      <w:r w:rsidRPr="009B5732">
        <w:rPr>
          <w:rFonts w:eastAsia="Times New Roman" w:cs="Times New Roman"/>
          <w:lang w:eastAsia="en-GB"/>
        </w:rPr>
        <w:t xml:space="preserve">The starting point for computing the index is to assemble existing information for each tracer indicator. </w:t>
      </w:r>
      <w:r w:rsidR="00994FE1">
        <w:rPr>
          <w:rFonts w:eastAsia="Times New Roman" w:cs="Times New Roman"/>
          <w:lang w:eastAsia="en-GB"/>
        </w:rPr>
        <w:t xml:space="preserve"> </w:t>
      </w:r>
      <w:r w:rsidRPr="009B5732">
        <w:rPr>
          <w:rFonts w:eastAsia="Times New Roman" w:cs="Times New Roman"/>
          <w:lang w:eastAsia="en-GB"/>
        </w:rPr>
        <w:t xml:space="preserve">In many cases, this involves using country time series that have been produced or collated by UN agencies in consultation with country governments (e.g., immunization coverage, HIV treatment coverage, etc). </w:t>
      </w:r>
      <w:r w:rsidR="00994FE1">
        <w:rPr>
          <w:rFonts w:eastAsia="Times New Roman" w:cs="Times New Roman"/>
          <w:lang w:eastAsia="en-GB"/>
        </w:rPr>
        <w:t xml:space="preserve"> </w:t>
      </w:r>
      <w:r w:rsidRPr="009B5732">
        <w:rPr>
          <w:rFonts w:eastAsia="Times New Roman" w:cs="Times New Roman"/>
          <w:lang w:eastAsia="en-GB"/>
        </w:rPr>
        <w:t xml:space="preserve">After assembling these inputs, there are still missing values for some country-years for some indicators. </w:t>
      </w:r>
      <w:r w:rsidR="00994FE1">
        <w:rPr>
          <w:rFonts w:eastAsia="Times New Roman" w:cs="Times New Roman"/>
          <w:lang w:eastAsia="en-GB"/>
        </w:rPr>
        <w:t xml:space="preserve"> </w:t>
      </w:r>
      <w:r w:rsidRPr="009B5732">
        <w:rPr>
          <w:rFonts w:eastAsia="Times New Roman" w:cs="Times New Roman"/>
          <w:lang w:eastAsia="en-GB"/>
        </w:rPr>
        <w:t xml:space="preserve">Calculating the UHC service coverage index requires values for each tracer indicator for a country, so some imputation is necessary to fill these data gaps. </w:t>
      </w:r>
      <w:r w:rsidR="00994FE1">
        <w:rPr>
          <w:rFonts w:eastAsia="Times New Roman" w:cs="Times New Roman"/>
          <w:lang w:eastAsia="en-GB"/>
        </w:rPr>
        <w:t xml:space="preserve"> </w:t>
      </w:r>
      <w:r w:rsidRPr="009B5732">
        <w:rPr>
          <w:rFonts w:eastAsia="Times New Roman" w:cs="Times New Roman"/>
          <w:lang w:eastAsia="en-GB"/>
        </w:rPr>
        <w:t xml:space="preserve">The current approach involves a simple imputation algorithm. </w:t>
      </w:r>
      <w:r w:rsidR="00994FE1">
        <w:rPr>
          <w:rFonts w:eastAsia="Times New Roman" w:cs="Times New Roman"/>
          <w:lang w:eastAsia="en-GB"/>
        </w:rPr>
        <w:t xml:space="preserve"> </w:t>
      </w:r>
      <w:r w:rsidRPr="009B5732">
        <w:rPr>
          <w:rFonts w:eastAsia="Times New Roman" w:cs="Times New Roman"/>
          <w:lang w:eastAsia="en-GB"/>
        </w:rPr>
        <w:t>For each indicator:</w:t>
      </w:r>
    </w:p>
    <w:p w14:paraId="2467C68B" w14:textId="77777777" w:rsidR="00207343" w:rsidRPr="009B5732" w:rsidRDefault="00207343" w:rsidP="00207343">
      <w:pPr>
        <w:shd w:val="clear" w:color="auto" w:fill="FFFFFF"/>
        <w:spacing w:after="0"/>
        <w:rPr>
          <w:rFonts w:eastAsia="Times New Roman" w:cs="Times New Roman"/>
          <w:lang w:eastAsia="en-GB"/>
        </w:rPr>
      </w:pPr>
    </w:p>
    <w:p w14:paraId="3C38912C" w14:textId="77777777" w:rsidR="00207343" w:rsidRPr="009B5732" w:rsidRDefault="00207343" w:rsidP="00207343">
      <w:pPr>
        <w:pStyle w:val="ListParagraph"/>
        <w:numPr>
          <w:ilvl w:val="0"/>
          <w:numId w:val="4"/>
        </w:numPr>
        <w:shd w:val="clear" w:color="auto" w:fill="FFFFFF"/>
        <w:spacing w:after="0"/>
        <w:rPr>
          <w:rFonts w:eastAsia="Times New Roman" w:cs="Times New Roman"/>
          <w:lang w:eastAsia="en-GB"/>
        </w:rPr>
      </w:pPr>
      <w:r w:rsidRPr="009B5732">
        <w:rPr>
          <w:rFonts w:eastAsia="Times New Roman" w:cs="Times New Roman"/>
          <w:lang w:eastAsia="en-GB"/>
        </w:rPr>
        <w:t>If a country has missing values between two years with values, linear interpolation is used to fill missing values for the intervening years;</w:t>
      </w:r>
    </w:p>
    <w:p w14:paraId="6126142F" w14:textId="77777777" w:rsidR="00207343" w:rsidRPr="00094055" w:rsidRDefault="00207343" w:rsidP="00207343">
      <w:pPr>
        <w:pStyle w:val="ListParagraph"/>
        <w:numPr>
          <w:ilvl w:val="0"/>
          <w:numId w:val="4"/>
        </w:numPr>
        <w:shd w:val="clear" w:color="auto" w:fill="FFFFFF"/>
        <w:spacing w:after="0"/>
        <w:rPr>
          <w:rFonts w:eastAsia="Times New Roman" w:cs="Times New Roman"/>
          <w:lang w:eastAsia="en-GB"/>
        </w:rPr>
      </w:pPr>
      <w:r w:rsidRPr="009B5732">
        <w:rPr>
          <w:rFonts w:eastAsia="Times New Roman" w:cs="Times New Roman"/>
          <w:lang w:eastAsia="en-GB"/>
        </w:rPr>
        <w:t>If a country has historical years with values, but no current value, constant extrapolation is used to fill missing values to the current/reporting year;</w:t>
      </w:r>
    </w:p>
    <w:p w14:paraId="0CE128B1" w14:textId="676ED1E1" w:rsidR="00207343" w:rsidRPr="009B5732" w:rsidRDefault="00207343" w:rsidP="00207343">
      <w:pPr>
        <w:pStyle w:val="ListParagraph"/>
        <w:numPr>
          <w:ilvl w:val="0"/>
          <w:numId w:val="4"/>
        </w:numPr>
        <w:shd w:val="clear" w:color="auto" w:fill="FFFFFF"/>
        <w:spacing w:after="0"/>
        <w:rPr>
          <w:rFonts w:eastAsia="Times New Roman" w:cs="Times New Roman"/>
          <w:lang w:eastAsia="en-GB"/>
        </w:rPr>
      </w:pPr>
      <w:r w:rsidRPr="009B5732">
        <w:rPr>
          <w:rFonts w:eastAsia="Times New Roman" w:cs="Times New Roman"/>
          <w:lang w:eastAsia="en-GB"/>
        </w:rPr>
        <w:t xml:space="preserve">Given the timing and distribution of various health surveys and other data collection mechanisms, countries do not collect and report on all 39 tracer indicators of health service coverage on an annual basis. </w:t>
      </w:r>
      <w:r w:rsidR="00994FE1">
        <w:rPr>
          <w:rFonts w:eastAsia="Times New Roman" w:cs="Times New Roman"/>
          <w:lang w:eastAsia="en-GB"/>
        </w:rPr>
        <w:t xml:space="preserve"> </w:t>
      </w:r>
      <w:r w:rsidRPr="009B5732">
        <w:rPr>
          <w:rFonts w:eastAsia="Times New Roman" w:cs="Times New Roman"/>
          <w:lang w:eastAsia="en-GB"/>
        </w:rPr>
        <w:t xml:space="preserve">Therefore, the extent to which imputation has been used to fill missing information should be communicated along with the index value. </w:t>
      </w:r>
      <w:r w:rsidR="00994FE1">
        <w:rPr>
          <w:rFonts w:eastAsia="Times New Roman" w:cs="Times New Roman"/>
          <w:lang w:eastAsia="en-GB"/>
        </w:rPr>
        <w:t xml:space="preserve"> M</w:t>
      </w:r>
      <w:r w:rsidRPr="009B5732">
        <w:rPr>
          <w:rFonts w:eastAsia="Times New Roman" w:cs="Times New Roman"/>
          <w:lang w:eastAsia="en-GB"/>
        </w:rPr>
        <w:t xml:space="preserve">onitoring at country level is most suitably done at broader time intervals, e.g., every 5 years, to allow for new data collection across indicators. </w:t>
      </w:r>
      <w:r w:rsidR="00994FE1">
        <w:rPr>
          <w:rFonts w:eastAsia="Times New Roman" w:cs="Times New Roman"/>
          <w:lang w:eastAsia="en-GB"/>
        </w:rPr>
        <w:t xml:space="preserve"> </w:t>
      </w:r>
      <w:r w:rsidRPr="009B5732">
        <w:rPr>
          <w:rFonts w:eastAsia="Times New Roman" w:cs="Times New Roman"/>
          <w:lang w:eastAsia="en-GB"/>
        </w:rPr>
        <w:t xml:space="preserve">For the baseline reporting in 2019, WHO aims to have data for index for 2015 or 2017.  </w:t>
      </w:r>
    </w:p>
    <w:p w14:paraId="34E2CB12" w14:textId="77777777" w:rsidR="00207343" w:rsidRPr="009B5732" w:rsidRDefault="00207343" w:rsidP="00207343">
      <w:pPr>
        <w:shd w:val="clear" w:color="auto" w:fill="FFFFFF"/>
        <w:spacing w:after="0"/>
        <w:ind w:left="495"/>
        <w:rPr>
          <w:rFonts w:eastAsia="Times New Roman" w:cs="Times New Roman"/>
          <w:color w:val="4A4A4A"/>
          <w:sz w:val="21"/>
          <w:szCs w:val="21"/>
          <w:lang w:eastAsia="en-GB"/>
        </w:rPr>
      </w:pPr>
    </w:p>
    <w:p w14:paraId="7B9530ED" w14:textId="77777777" w:rsidR="00207343" w:rsidRPr="009B5732" w:rsidRDefault="00207343" w:rsidP="00207343">
      <w:pPr>
        <w:shd w:val="clear" w:color="auto" w:fill="FFFFFF"/>
        <w:spacing w:after="0"/>
        <w:rPr>
          <w:rFonts w:eastAsia="Times New Roman" w:cs="Times New Roman"/>
          <w:color w:val="4A4A4A"/>
          <w:sz w:val="21"/>
          <w:szCs w:val="21"/>
          <w:lang w:eastAsia="en-GB"/>
        </w:rPr>
      </w:pPr>
      <w:r w:rsidRPr="009B5732">
        <w:rPr>
          <w:rFonts w:eastAsia="Times New Roman" w:cs="Times New Roman"/>
          <w:b/>
          <w:bCs/>
          <w:color w:val="4A4A4A"/>
          <w:sz w:val="21"/>
          <w:szCs w:val="21"/>
          <w:lang w:eastAsia="en-GB"/>
        </w:rPr>
        <w:t>Regional aggregates:</w:t>
      </w:r>
    </w:p>
    <w:p w14:paraId="2582E790" w14:textId="5C7AC790" w:rsidR="00207343" w:rsidRPr="009B5732" w:rsidRDefault="00207343" w:rsidP="00207343">
      <w:pPr>
        <w:shd w:val="clear" w:color="auto" w:fill="FFFFFF"/>
        <w:spacing w:after="0"/>
        <w:rPr>
          <w:rFonts w:eastAsia="Times New Roman" w:cs="Times New Roman"/>
          <w:sz w:val="21"/>
          <w:szCs w:val="21"/>
          <w:lang w:eastAsia="en-GB"/>
        </w:rPr>
      </w:pPr>
      <w:r w:rsidRPr="009B5732">
        <w:rPr>
          <w:rFonts w:eastAsia="Times New Roman" w:cs="Times New Roman"/>
          <w:sz w:val="21"/>
          <w:szCs w:val="21"/>
          <w:lang w:eastAsia="en-GB"/>
        </w:rPr>
        <w:t xml:space="preserve">Any needed imputation is done at country level, provided the country data doesn’t exist and that countries do agree to the use of this data. </w:t>
      </w:r>
      <w:r w:rsidR="00994FE1">
        <w:rPr>
          <w:rFonts w:eastAsia="Times New Roman" w:cs="Times New Roman"/>
          <w:sz w:val="21"/>
          <w:szCs w:val="21"/>
          <w:lang w:eastAsia="en-GB"/>
        </w:rPr>
        <w:t xml:space="preserve"> </w:t>
      </w:r>
      <w:r w:rsidRPr="009B5732">
        <w:rPr>
          <w:rFonts w:eastAsia="Times New Roman" w:cs="Times New Roman"/>
          <w:sz w:val="21"/>
          <w:szCs w:val="21"/>
          <w:lang w:eastAsia="en-GB"/>
        </w:rPr>
        <w:t xml:space="preserve">These country values can then be used to compute regional and global ones. </w:t>
      </w:r>
      <w:r w:rsidRPr="009B5732">
        <w:rPr>
          <w:rFonts w:cs="TimesNewRomanPS-BoldMT"/>
        </w:rPr>
        <w:t xml:space="preserve">Regional and global aggregates are computed by using national population sizes to compute a weighted average of country-specific values for the index. </w:t>
      </w:r>
      <w:r w:rsidR="00994FE1">
        <w:rPr>
          <w:rFonts w:cs="TimesNewRomanPS-BoldMT"/>
        </w:rPr>
        <w:t xml:space="preserve"> </w:t>
      </w:r>
      <w:r w:rsidRPr="009B5732">
        <w:rPr>
          <w:rFonts w:cs="TimesNewRomanPS-BoldMT"/>
        </w:rPr>
        <w:t>This is justified claiming UHC is a property of countries, and the index of essential services is a summary measure of access to essential services for each country’s population.</w:t>
      </w:r>
    </w:p>
    <w:p w14:paraId="29FA55B5" w14:textId="77777777" w:rsidR="00207343" w:rsidRPr="009B5732" w:rsidRDefault="00207343" w:rsidP="00207343">
      <w:pPr>
        <w:shd w:val="clear" w:color="auto" w:fill="FFFFFF"/>
        <w:spacing w:after="0"/>
        <w:rPr>
          <w:rFonts w:eastAsia="Times New Roman" w:cs="Times New Roman"/>
          <w:color w:val="4A4A4A"/>
          <w:sz w:val="21"/>
          <w:szCs w:val="21"/>
          <w:lang w:eastAsia="en-GB"/>
        </w:rPr>
      </w:pPr>
    </w:p>
    <w:p w14:paraId="03B6C4CB" w14:textId="77777777" w:rsidR="00207343" w:rsidRPr="009B5732" w:rsidRDefault="00207343" w:rsidP="00207343">
      <w:pPr>
        <w:shd w:val="clear" w:color="auto" w:fill="FFFFFF"/>
        <w:spacing w:after="0"/>
        <w:rPr>
          <w:rFonts w:eastAsiaTheme="majorEastAsia" w:cstheme="majorBidi"/>
          <w:color w:val="365F91" w:themeColor="accent1" w:themeShade="BF"/>
          <w:sz w:val="26"/>
          <w:szCs w:val="26"/>
          <w:lang w:val="en-US" w:eastAsia="en-US"/>
        </w:rPr>
      </w:pPr>
      <w:r w:rsidRPr="009B5732">
        <w:rPr>
          <w:rFonts w:eastAsiaTheme="majorEastAsia" w:cstheme="majorBidi"/>
          <w:color w:val="365F91" w:themeColor="accent1" w:themeShade="BF"/>
          <w:sz w:val="26"/>
          <w:szCs w:val="26"/>
          <w:lang w:val="en-US" w:eastAsia="en-US"/>
        </w:rPr>
        <w:t>Sources of discrepancies:</w:t>
      </w:r>
    </w:p>
    <w:p w14:paraId="15A85087" w14:textId="16A187D7" w:rsidR="00207343" w:rsidRDefault="00207343" w:rsidP="00207343">
      <w:pPr>
        <w:shd w:val="clear" w:color="auto" w:fill="FFFFFF"/>
        <w:spacing w:after="0"/>
        <w:rPr>
          <w:rFonts w:eastAsia="Times New Roman" w:cs="Times New Roman"/>
          <w:sz w:val="21"/>
          <w:szCs w:val="21"/>
          <w:lang w:eastAsia="en-GB"/>
        </w:rPr>
      </w:pPr>
      <w:r w:rsidRPr="009B5732">
        <w:rPr>
          <w:rFonts w:eastAsia="Times New Roman" w:cs="Times New Roman"/>
          <w:sz w:val="21"/>
          <w:szCs w:val="21"/>
          <w:lang w:eastAsia="en-GB"/>
        </w:rPr>
        <w:t>The service coverage index draws on existing, publicly available data and estimates for tracer indicators. These numbers undergo a country consultation process (e.g. for immunization coverage</w:t>
      </w:r>
      <w:r w:rsidR="00994FE1" w:rsidRPr="009B5732">
        <w:rPr>
          <w:rFonts w:eastAsia="Times New Roman" w:cs="Times New Roman"/>
          <w:sz w:val="21"/>
          <w:szCs w:val="21"/>
          <w:lang w:eastAsia="en-GB"/>
        </w:rPr>
        <w:t>) or</w:t>
      </w:r>
      <w:r w:rsidRPr="009B5732">
        <w:rPr>
          <w:rFonts w:eastAsia="Times New Roman" w:cs="Times New Roman"/>
          <w:sz w:val="21"/>
          <w:szCs w:val="21"/>
          <w:lang w:eastAsia="en-GB"/>
        </w:rPr>
        <w:t xml:space="preserve"> are taken directly from country reported data. </w:t>
      </w:r>
      <w:r w:rsidR="00994FE1">
        <w:rPr>
          <w:rFonts w:eastAsia="Times New Roman" w:cs="Times New Roman"/>
          <w:sz w:val="21"/>
          <w:szCs w:val="21"/>
          <w:lang w:eastAsia="en-GB"/>
        </w:rPr>
        <w:t xml:space="preserve"> </w:t>
      </w:r>
      <w:r w:rsidRPr="009B5732">
        <w:rPr>
          <w:rFonts w:eastAsia="Times New Roman" w:cs="Times New Roman"/>
          <w:sz w:val="21"/>
          <w:szCs w:val="21"/>
          <w:lang w:eastAsia="en-GB"/>
        </w:rPr>
        <w:t>Country baseline values for year 2017 for the index will be consulted with WHO Member States in 2019.</w:t>
      </w:r>
    </w:p>
    <w:p w14:paraId="678C6E91" w14:textId="77777777" w:rsidR="001166FA" w:rsidRDefault="001166FA" w:rsidP="001166FA">
      <w:pPr>
        <w:shd w:val="clear" w:color="auto" w:fill="FFFFFF"/>
        <w:spacing w:after="0"/>
        <w:rPr>
          <w:rFonts w:eastAsiaTheme="majorEastAsia" w:cstheme="majorBidi"/>
          <w:color w:val="365F91" w:themeColor="accent1" w:themeShade="BF"/>
          <w:sz w:val="26"/>
          <w:szCs w:val="26"/>
          <w:lang w:val="en-US" w:eastAsia="en-US"/>
        </w:rPr>
      </w:pPr>
    </w:p>
    <w:p w14:paraId="0EE8C275" w14:textId="77777777" w:rsidR="001166FA" w:rsidRPr="001166FA" w:rsidRDefault="001166FA" w:rsidP="001166FA">
      <w:pPr>
        <w:shd w:val="clear" w:color="auto" w:fill="FFFFFF"/>
        <w:spacing w:after="0"/>
        <w:rPr>
          <w:rFonts w:eastAsiaTheme="majorEastAsia" w:cstheme="majorBidi"/>
          <w:color w:val="365F91" w:themeColor="accent1" w:themeShade="BF"/>
          <w:sz w:val="26"/>
          <w:szCs w:val="26"/>
          <w:lang w:val="en-US" w:eastAsia="en-US"/>
        </w:rPr>
      </w:pPr>
      <w:r w:rsidRPr="001166FA">
        <w:rPr>
          <w:rFonts w:eastAsiaTheme="majorEastAsia" w:cstheme="majorBidi"/>
          <w:color w:val="365F91" w:themeColor="accent1" w:themeShade="BF"/>
          <w:sz w:val="26"/>
          <w:szCs w:val="26"/>
          <w:lang w:val="en-US" w:eastAsia="en-US"/>
        </w:rPr>
        <w:t>Other considerations:</w:t>
      </w:r>
    </w:p>
    <w:p w14:paraId="1278BD40" w14:textId="47890D5C" w:rsidR="001166FA" w:rsidRPr="001166FA" w:rsidRDefault="001166FA" w:rsidP="001166FA">
      <w:pPr>
        <w:shd w:val="clear" w:color="auto" w:fill="FFFFFF"/>
        <w:spacing w:after="0"/>
        <w:rPr>
          <w:rFonts w:eastAsia="Times New Roman" w:cs="Times New Roman"/>
          <w:sz w:val="21"/>
          <w:szCs w:val="21"/>
          <w:lang w:eastAsia="en-GB"/>
        </w:rPr>
      </w:pPr>
      <w:r w:rsidRPr="001166FA">
        <w:rPr>
          <w:rFonts w:eastAsia="Times New Roman" w:cs="Times New Roman"/>
          <w:sz w:val="21"/>
          <w:szCs w:val="21"/>
          <w:lang w:eastAsia="en-GB"/>
        </w:rPr>
        <w:t xml:space="preserve">The data and methods used for SDG3.8.1 monitoring follows </w:t>
      </w:r>
      <w:r w:rsidR="00055F78">
        <w:rPr>
          <w:rFonts w:eastAsia="Times New Roman" w:cs="Times New Roman"/>
          <w:sz w:val="21"/>
          <w:szCs w:val="21"/>
          <w:lang w:eastAsia="en-GB"/>
        </w:rPr>
        <w:t xml:space="preserve">the </w:t>
      </w:r>
      <w:r w:rsidRPr="001166FA">
        <w:rPr>
          <w:rFonts w:eastAsia="Times New Roman" w:cs="Times New Roman"/>
          <w:sz w:val="21"/>
          <w:szCs w:val="21"/>
          <w:lang w:eastAsia="en-GB"/>
        </w:rPr>
        <w:t>Fundamental Principles of Official Statistics</w:t>
      </w:r>
      <w:r w:rsidRPr="00450F4F">
        <w:rPr>
          <w:rFonts w:eastAsia="Times New Roman" w:cs="Times New Roman"/>
          <w:sz w:val="21"/>
          <w:szCs w:val="21"/>
          <w:vertAlign w:val="superscript"/>
          <w:lang w:eastAsia="en-GB"/>
        </w:rPr>
        <w:footnoteReference w:id="3"/>
      </w:r>
      <w:r w:rsidRPr="001166FA">
        <w:rPr>
          <w:rFonts w:eastAsia="Times New Roman" w:cs="Times New Roman"/>
          <w:sz w:val="21"/>
          <w:szCs w:val="21"/>
          <w:lang w:eastAsia="en-GB"/>
        </w:rPr>
        <w:t>, which highlight the importance of official statistics in addressing the information needs of a country and elaborate on the required quality, utilization, and dissemination of official statistics. Official health statistics have to conform to the Fundamental Principles. Principle 5 addresses specifically official statistics sources: data for statistical purposes may be drawn from all types of sources, be they statistical surveys or administrative records. Statistical agencies are to choose the source most appropriate to their specific needs taking into consideration quality, timeliness, costs, and the burden on the respondents.</w:t>
      </w:r>
    </w:p>
    <w:p w14:paraId="3D010350" w14:textId="77777777" w:rsidR="001166FA" w:rsidRPr="001166FA" w:rsidRDefault="001166FA" w:rsidP="001166FA">
      <w:pPr>
        <w:shd w:val="clear" w:color="auto" w:fill="FFFFFF"/>
        <w:spacing w:after="0"/>
        <w:rPr>
          <w:rFonts w:eastAsia="Times New Roman" w:cs="Times New Roman"/>
          <w:sz w:val="21"/>
          <w:szCs w:val="21"/>
          <w:lang w:eastAsia="en-GB"/>
        </w:rPr>
      </w:pPr>
    </w:p>
    <w:p w14:paraId="6AE8DD57" w14:textId="77777777" w:rsidR="001166FA" w:rsidRPr="00DF7941" w:rsidRDefault="001166FA" w:rsidP="001166FA">
      <w:pPr>
        <w:shd w:val="clear" w:color="auto" w:fill="FFFFFF"/>
        <w:spacing w:after="0"/>
        <w:rPr>
          <w:rFonts w:eastAsia="Times New Roman" w:cs="Times New Roman"/>
          <w:sz w:val="21"/>
          <w:szCs w:val="21"/>
          <w:lang w:eastAsia="en-GB"/>
        </w:rPr>
      </w:pPr>
      <w:r w:rsidRPr="001166FA">
        <w:rPr>
          <w:rFonts w:eastAsia="Times New Roman" w:cs="Times New Roman"/>
          <w:sz w:val="21"/>
          <w:szCs w:val="21"/>
          <w:lang w:eastAsia="en-GB"/>
        </w:rPr>
        <w:t>Additionally, measurements of health indicators are rarely available for every population and period of interest, and available data may not be comparable. The Guidelines for Accurate and Transparent Health Estimates Reporting (GATHER)</w:t>
      </w:r>
      <w:r w:rsidRPr="00450F4F">
        <w:rPr>
          <w:vertAlign w:val="superscript"/>
        </w:rPr>
        <w:footnoteReference w:id="4"/>
      </w:r>
      <w:r w:rsidRPr="00450F4F">
        <w:rPr>
          <w:rFonts w:eastAsia="Times New Roman" w:cs="Times New Roman"/>
          <w:sz w:val="21"/>
          <w:szCs w:val="21"/>
          <w:vertAlign w:val="superscript"/>
          <w:lang w:eastAsia="en-GB"/>
        </w:rPr>
        <w:t xml:space="preserve"> </w:t>
      </w:r>
      <w:r w:rsidRPr="001166FA">
        <w:rPr>
          <w:rFonts w:eastAsia="Times New Roman" w:cs="Times New Roman"/>
          <w:sz w:val="21"/>
          <w:szCs w:val="21"/>
          <w:lang w:eastAsia="en-GB"/>
        </w:rPr>
        <w:t>define best reporting practices for studies that calculate health estimates for multiple populations (in time or space) using multiple information sources. Health estimates that fall within the scope of GATHER include all quantitative population-level estimates (including global, regional, national, or subnational estimates) of health indicators, including indicators of health status, incidence and prevalence of diseases, injuries, and disability and functioning; and indicators of health determinants, including health behaviours and health exposures. GATHER comprises a checklist of 18 items that are essential for best reporting practice.</w:t>
      </w:r>
    </w:p>
    <w:p w14:paraId="028E328A" w14:textId="7540C5D1" w:rsidR="001A21B2" w:rsidRPr="00573631" w:rsidRDefault="001A21B2" w:rsidP="001A21B2">
      <w:pPr>
        <w:shd w:val="clear" w:color="auto" w:fill="FFFFFF"/>
        <w:spacing w:after="0"/>
        <w:rPr>
          <w:rFonts w:eastAsia="Times New Roman" w:cs="Times New Roman"/>
          <w:color w:val="4A4A4A"/>
          <w:sz w:val="21"/>
          <w:szCs w:val="21"/>
          <w:lang w:eastAsia="en-GB"/>
        </w:rPr>
      </w:pPr>
    </w:p>
    <w:p w14:paraId="24357F79" w14:textId="77777777" w:rsidR="001A21B2" w:rsidRPr="003B1828" w:rsidRDefault="001A21B2" w:rsidP="001A21B2">
      <w:pPr>
        <w:pBdr>
          <w:bottom w:val="single" w:sz="12" w:space="4" w:color="DDDDDD"/>
        </w:pBdr>
        <w:shd w:val="clear" w:color="auto" w:fill="FFFFFF"/>
        <w:spacing w:after="0"/>
        <w:outlineLvl w:val="2"/>
        <w:rPr>
          <w:rFonts w:eastAsia="Times New Roman" w:cs="Times New Roman"/>
          <w:color w:val="1C75BC"/>
          <w:sz w:val="36"/>
          <w:szCs w:val="36"/>
          <w:lang w:eastAsia="en-GB"/>
        </w:rPr>
      </w:pPr>
      <w:r w:rsidRPr="00573631">
        <w:rPr>
          <w:rFonts w:eastAsia="Times New Roman" w:cs="Times New Roman"/>
          <w:color w:val="1C75BC"/>
          <w:sz w:val="36"/>
          <w:szCs w:val="36"/>
          <w:lang w:eastAsia="en-GB"/>
        </w:rPr>
        <w:t>Data Sources</w:t>
      </w:r>
    </w:p>
    <w:p w14:paraId="3368064C" w14:textId="77777777" w:rsidR="001A21B2" w:rsidRPr="00573631" w:rsidRDefault="001A21B2" w:rsidP="001A21B2">
      <w:pPr>
        <w:shd w:val="clear" w:color="auto" w:fill="FFFFFF"/>
        <w:spacing w:after="0"/>
        <w:rPr>
          <w:rFonts w:eastAsia="Times New Roman" w:cs="Times New Roman"/>
          <w:color w:val="4A4A4A"/>
          <w:sz w:val="21"/>
          <w:szCs w:val="21"/>
          <w:lang w:eastAsia="en-GB"/>
        </w:rPr>
      </w:pPr>
      <w:r w:rsidRPr="00573631">
        <w:rPr>
          <w:rFonts w:eastAsia="Times New Roman" w:cs="Times New Roman"/>
          <w:b/>
          <w:bCs/>
          <w:color w:val="4A4A4A"/>
          <w:sz w:val="21"/>
          <w:szCs w:val="21"/>
          <w:lang w:eastAsia="en-GB"/>
        </w:rPr>
        <w:t>Description:</w:t>
      </w:r>
    </w:p>
    <w:p w14:paraId="69681766" w14:textId="117A9322" w:rsidR="00994FE1" w:rsidRPr="001166FA" w:rsidRDefault="001A21B2" w:rsidP="001166FA">
      <w:pPr>
        <w:shd w:val="clear" w:color="auto" w:fill="FFFFFF"/>
        <w:spacing w:after="0"/>
        <w:rPr>
          <w:rFonts w:eastAsia="Times New Roman" w:cs="Times New Roman"/>
          <w:sz w:val="21"/>
          <w:szCs w:val="21"/>
          <w:lang w:eastAsia="en-GB"/>
        </w:rPr>
      </w:pPr>
      <w:r w:rsidRPr="008A7B7B">
        <w:rPr>
          <w:rFonts w:eastAsia="Times New Roman" w:cs="Times New Roman"/>
          <w:sz w:val="21"/>
          <w:szCs w:val="21"/>
          <w:lang w:eastAsia="en-GB"/>
        </w:rPr>
        <w:t xml:space="preserve">Many of the tracer indicators of health service coverage are measured by </w:t>
      </w:r>
      <w:r w:rsidR="00994FE1">
        <w:rPr>
          <w:rFonts w:eastAsia="Times New Roman" w:cs="Times New Roman"/>
          <w:sz w:val="21"/>
          <w:szCs w:val="21"/>
          <w:lang w:eastAsia="en-GB"/>
        </w:rPr>
        <w:t>c</w:t>
      </w:r>
      <w:r>
        <w:rPr>
          <w:rFonts w:eastAsia="Times New Roman" w:cs="Times New Roman"/>
          <w:sz w:val="21"/>
          <w:szCs w:val="21"/>
          <w:lang w:eastAsia="en-GB"/>
        </w:rPr>
        <w:t>ount</w:t>
      </w:r>
      <w:r w:rsidR="00994FE1">
        <w:rPr>
          <w:rFonts w:eastAsia="Times New Roman" w:cs="Times New Roman"/>
          <w:sz w:val="21"/>
          <w:szCs w:val="21"/>
          <w:lang w:eastAsia="en-GB"/>
        </w:rPr>
        <w:t>ry vital registration s</w:t>
      </w:r>
      <w:r w:rsidR="00B87425">
        <w:rPr>
          <w:rFonts w:eastAsia="Times New Roman" w:cs="Times New Roman"/>
          <w:sz w:val="21"/>
          <w:szCs w:val="21"/>
          <w:lang w:eastAsia="en-GB"/>
        </w:rPr>
        <w:t>ystems, c</w:t>
      </w:r>
      <w:r>
        <w:rPr>
          <w:rFonts w:eastAsia="Times New Roman" w:cs="Times New Roman"/>
          <w:sz w:val="21"/>
          <w:szCs w:val="21"/>
          <w:lang w:eastAsia="en-GB"/>
        </w:rPr>
        <w:t>ancer registries, hospital discharges</w:t>
      </w:r>
      <w:r w:rsidRPr="008A7B7B">
        <w:rPr>
          <w:rFonts w:eastAsia="Times New Roman" w:cs="Times New Roman"/>
          <w:sz w:val="21"/>
          <w:szCs w:val="21"/>
          <w:lang w:eastAsia="en-GB"/>
        </w:rPr>
        <w:t xml:space="preserve">, facility </w:t>
      </w:r>
      <w:r>
        <w:rPr>
          <w:rFonts w:eastAsia="Times New Roman" w:cs="Times New Roman"/>
          <w:sz w:val="21"/>
          <w:szCs w:val="21"/>
          <w:lang w:eastAsia="en-GB"/>
        </w:rPr>
        <w:t xml:space="preserve">and household surveys and </w:t>
      </w:r>
      <w:r w:rsidRPr="008A7B7B">
        <w:rPr>
          <w:rFonts w:eastAsia="Times New Roman" w:cs="Times New Roman"/>
          <w:sz w:val="21"/>
          <w:szCs w:val="21"/>
          <w:lang w:eastAsia="en-GB"/>
        </w:rPr>
        <w:t xml:space="preserve">sentinel surveillance systems are utilized for certain </w:t>
      </w:r>
      <w:r w:rsidRPr="00FF19BD">
        <w:rPr>
          <w:rFonts w:eastAsia="Times New Roman" w:cs="Times New Roman"/>
          <w:sz w:val="21"/>
          <w:szCs w:val="21"/>
          <w:lang w:eastAsia="en-GB"/>
        </w:rPr>
        <w:t xml:space="preserve">indicators. Underlying data sources for each of the </w:t>
      </w:r>
      <w:r>
        <w:rPr>
          <w:rFonts w:eastAsia="Times New Roman" w:cs="Times New Roman"/>
          <w:sz w:val="21"/>
          <w:szCs w:val="21"/>
          <w:lang w:eastAsia="en-GB"/>
        </w:rPr>
        <w:t>39</w:t>
      </w:r>
      <w:r w:rsidRPr="00FF19BD">
        <w:rPr>
          <w:rFonts w:eastAsia="Times New Roman" w:cs="Times New Roman"/>
          <w:sz w:val="21"/>
          <w:szCs w:val="21"/>
          <w:lang w:eastAsia="en-GB"/>
        </w:rPr>
        <w:t xml:space="preserve"> tracer indicators are explained in</w:t>
      </w:r>
      <w:r>
        <w:rPr>
          <w:rFonts w:eastAsia="Times New Roman" w:cs="Times New Roman"/>
          <w:sz w:val="21"/>
          <w:szCs w:val="21"/>
          <w:lang w:eastAsia="en-GB"/>
        </w:rPr>
        <w:t xml:space="preserve"> table 2.</w:t>
      </w:r>
      <w:r w:rsidR="00994FE1">
        <w:rPr>
          <w:rFonts w:eastAsia="Times New Roman" w:cs="Times New Roman"/>
          <w:color w:val="4A4A4A"/>
          <w:sz w:val="21"/>
          <w:szCs w:val="21"/>
          <w:lang w:eastAsia="en-GB"/>
        </w:rPr>
        <w:t xml:space="preserve">  </w:t>
      </w:r>
      <w:r w:rsidRPr="008A7B7B">
        <w:rPr>
          <w:rFonts w:eastAsia="Times New Roman" w:cs="Times New Roman"/>
          <w:sz w:val="21"/>
          <w:szCs w:val="21"/>
          <w:lang w:eastAsia="en-GB"/>
        </w:rPr>
        <w:t>In terms of values used to compute the index,</w:t>
      </w:r>
      <w:r>
        <w:rPr>
          <w:rFonts w:eastAsia="Times New Roman" w:cs="Times New Roman"/>
          <w:sz w:val="21"/>
          <w:szCs w:val="21"/>
          <w:lang w:eastAsia="en-GB"/>
        </w:rPr>
        <w:t xml:space="preserve"> values are taken from </w:t>
      </w:r>
      <w:r w:rsidRPr="008A7B7B">
        <w:rPr>
          <w:rFonts w:eastAsia="Times New Roman" w:cs="Times New Roman"/>
          <w:sz w:val="21"/>
          <w:szCs w:val="21"/>
          <w:lang w:eastAsia="en-GB"/>
        </w:rPr>
        <w:t>published source</w:t>
      </w:r>
      <w:r>
        <w:rPr>
          <w:rFonts w:eastAsia="Times New Roman" w:cs="Times New Roman"/>
          <w:sz w:val="21"/>
          <w:szCs w:val="21"/>
          <w:lang w:eastAsia="en-GB"/>
        </w:rPr>
        <w:t>s, including</w:t>
      </w:r>
      <w:r w:rsidRPr="008A7B7B">
        <w:rPr>
          <w:rFonts w:eastAsia="Times New Roman" w:cs="Times New Roman"/>
          <w:sz w:val="21"/>
          <w:szCs w:val="21"/>
          <w:lang w:eastAsia="en-GB"/>
        </w:rPr>
        <w:t xml:space="preserve"> assembled data sets and esti</w:t>
      </w:r>
      <w:r w:rsidR="00994FE1">
        <w:rPr>
          <w:rFonts w:eastAsia="Times New Roman" w:cs="Times New Roman"/>
          <w:sz w:val="21"/>
          <w:szCs w:val="21"/>
          <w:lang w:eastAsia="en-GB"/>
        </w:rPr>
        <w:t>mates from various UN agencies.</w:t>
      </w:r>
    </w:p>
    <w:p w14:paraId="594A9BD5" w14:textId="77777777" w:rsidR="001A21B2" w:rsidRPr="00573631" w:rsidRDefault="001A21B2" w:rsidP="001A21B2">
      <w:pPr>
        <w:shd w:val="clear" w:color="auto" w:fill="FFFFFF"/>
        <w:spacing w:after="0"/>
        <w:rPr>
          <w:rFonts w:eastAsia="Times New Roman" w:cs="Times New Roman"/>
          <w:color w:val="4A4A4A"/>
          <w:sz w:val="21"/>
          <w:szCs w:val="21"/>
          <w:lang w:eastAsia="en-GB"/>
        </w:rPr>
      </w:pPr>
    </w:p>
    <w:p w14:paraId="1E4917BE" w14:textId="77777777" w:rsidR="001A21B2" w:rsidRPr="00573631" w:rsidRDefault="001A21B2" w:rsidP="001A21B2">
      <w:pPr>
        <w:shd w:val="clear" w:color="auto" w:fill="FFFFFF"/>
        <w:spacing w:after="0"/>
        <w:rPr>
          <w:rFonts w:eastAsia="Times New Roman" w:cs="Times New Roman"/>
          <w:color w:val="4A4A4A"/>
          <w:sz w:val="21"/>
          <w:szCs w:val="21"/>
          <w:lang w:eastAsia="en-GB"/>
        </w:rPr>
      </w:pPr>
      <w:r w:rsidRPr="00573631">
        <w:rPr>
          <w:rFonts w:eastAsia="Times New Roman" w:cs="Times New Roman"/>
          <w:b/>
          <w:bCs/>
          <w:color w:val="4A4A4A"/>
          <w:sz w:val="21"/>
          <w:szCs w:val="21"/>
          <w:lang w:eastAsia="en-GB"/>
        </w:rPr>
        <w:t>Collection process:</w:t>
      </w:r>
    </w:p>
    <w:p w14:paraId="752093EF" w14:textId="69C34259" w:rsidR="001A21B2" w:rsidRDefault="001A21B2" w:rsidP="001A21B2">
      <w:pPr>
        <w:shd w:val="clear" w:color="auto" w:fill="FFFFFF"/>
        <w:spacing w:after="0"/>
        <w:rPr>
          <w:rFonts w:eastAsia="Times New Roman" w:cs="Times New Roman"/>
          <w:sz w:val="21"/>
          <w:szCs w:val="21"/>
          <w:lang w:eastAsia="en-GB"/>
        </w:rPr>
      </w:pPr>
      <w:r w:rsidRPr="00457768">
        <w:rPr>
          <w:rFonts w:eastAsia="Times New Roman" w:cs="Times New Roman"/>
          <w:sz w:val="21"/>
          <w:szCs w:val="21"/>
          <w:lang w:eastAsia="en-GB"/>
        </w:rPr>
        <w:t xml:space="preserve">The mechanisms for collecting data from countries </w:t>
      </w:r>
      <w:r>
        <w:rPr>
          <w:rFonts w:eastAsia="Times New Roman" w:cs="Times New Roman"/>
          <w:sz w:val="21"/>
          <w:szCs w:val="21"/>
          <w:lang w:eastAsia="en-GB"/>
        </w:rPr>
        <w:t>vary</w:t>
      </w:r>
      <w:r w:rsidRPr="00457768">
        <w:rPr>
          <w:rFonts w:eastAsia="Times New Roman" w:cs="Times New Roman"/>
          <w:sz w:val="21"/>
          <w:szCs w:val="21"/>
          <w:lang w:eastAsia="en-GB"/>
        </w:rPr>
        <w:t xml:space="preserve"> across the </w:t>
      </w:r>
      <w:r>
        <w:rPr>
          <w:rFonts w:eastAsia="Times New Roman" w:cs="Times New Roman"/>
          <w:sz w:val="21"/>
          <w:szCs w:val="21"/>
          <w:lang w:eastAsia="en-GB"/>
        </w:rPr>
        <w:t>39 tracer</w:t>
      </w:r>
      <w:r w:rsidRPr="00457768">
        <w:rPr>
          <w:rFonts w:eastAsia="Times New Roman" w:cs="Times New Roman"/>
          <w:sz w:val="21"/>
          <w:szCs w:val="21"/>
          <w:lang w:eastAsia="en-GB"/>
        </w:rPr>
        <w:t xml:space="preserve"> indicators, however in many cases a UN agency or interagency group </w:t>
      </w:r>
      <w:r>
        <w:rPr>
          <w:rFonts w:eastAsia="Times New Roman" w:cs="Times New Roman"/>
          <w:sz w:val="21"/>
          <w:szCs w:val="21"/>
          <w:lang w:eastAsia="en-GB"/>
        </w:rPr>
        <w:t xml:space="preserve">has assembled and analysed </w:t>
      </w:r>
      <w:r w:rsidRPr="00457768">
        <w:rPr>
          <w:rFonts w:eastAsia="Times New Roman" w:cs="Times New Roman"/>
          <w:sz w:val="21"/>
          <w:szCs w:val="21"/>
          <w:lang w:eastAsia="en-GB"/>
        </w:rPr>
        <w:t xml:space="preserve">relevant </w:t>
      </w:r>
      <w:r>
        <w:rPr>
          <w:rFonts w:eastAsia="Times New Roman" w:cs="Times New Roman"/>
          <w:sz w:val="21"/>
          <w:szCs w:val="21"/>
          <w:lang w:eastAsia="en-GB"/>
        </w:rPr>
        <w:t xml:space="preserve">national </w:t>
      </w:r>
      <w:r w:rsidRPr="00457768">
        <w:rPr>
          <w:rFonts w:eastAsia="Times New Roman" w:cs="Times New Roman"/>
          <w:sz w:val="21"/>
          <w:szCs w:val="21"/>
          <w:lang w:eastAsia="en-GB"/>
        </w:rPr>
        <w:t>data sources and then conduct</w:t>
      </w:r>
      <w:r>
        <w:rPr>
          <w:rFonts w:eastAsia="Times New Roman" w:cs="Times New Roman"/>
          <w:sz w:val="21"/>
          <w:szCs w:val="21"/>
          <w:lang w:eastAsia="en-GB"/>
        </w:rPr>
        <w:t>ed</w:t>
      </w:r>
      <w:r w:rsidRPr="00457768">
        <w:rPr>
          <w:rFonts w:eastAsia="Times New Roman" w:cs="Times New Roman"/>
          <w:sz w:val="21"/>
          <w:szCs w:val="21"/>
          <w:lang w:eastAsia="en-GB"/>
        </w:rPr>
        <w:t xml:space="preserve"> a formal country consultation with country governments to review</w:t>
      </w:r>
      <w:r>
        <w:rPr>
          <w:rFonts w:eastAsia="Times New Roman" w:cs="Times New Roman"/>
          <w:sz w:val="21"/>
          <w:szCs w:val="21"/>
          <w:lang w:eastAsia="en-GB"/>
        </w:rPr>
        <w:t xml:space="preserve"> or produce</w:t>
      </w:r>
      <w:r w:rsidRPr="00457768">
        <w:rPr>
          <w:rFonts w:eastAsia="Times New Roman" w:cs="Times New Roman"/>
          <w:sz w:val="21"/>
          <w:szCs w:val="21"/>
          <w:lang w:eastAsia="en-GB"/>
        </w:rPr>
        <w:t xml:space="preserve"> </w:t>
      </w:r>
      <w:r>
        <w:rPr>
          <w:rFonts w:eastAsia="Times New Roman" w:cs="Times New Roman"/>
          <w:sz w:val="21"/>
          <w:szCs w:val="21"/>
          <w:lang w:eastAsia="en-GB"/>
        </w:rPr>
        <w:t xml:space="preserve">comparable country </w:t>
      </w:r>
      <w:r w:rsidRPr="00457768">
        <w:rPr>
          <w:rFonts w:eastAsia="Times New Roman" w:cs="Times New Roman"/>
          <w:sz w:val="21"/>
          <w:szCs w:val="21"/>
          <w:lang w:eastAsia="en-GB"/>
        </w:rPr>
        <w:t xml:space="preserve">estimates. </w:t>
      </w:r>
      <w:r w:rsidR="00994FE1">
        <w:rPr>
          <w:rFonts w:eastAsia="Times New Roman" w:cs="Times New Roman"/>
          <w:sz w:val="21"/>
          <w:szCs w:val="21"/>
          <w:lang w:eastAsia="en-GB"/>
        </w:rPr>
        <w:t xml:space="preserve"> </w:t>
      </w:r>
      <w:r w:rsidRPr="00457768">
        <w:rPr>
          <w:rFonts w:eastAsia="Times New Roman" w:cs="Times New Roman"/>
          <w:sz w:val="21"/>
          <w:szCs w:val="21"/>
          <w:lang w:eastAsia="en-GB"/>
        </w:rPr>
        <w:t xml:space="preserve">For the UHC service coverage index, once </w:t>
      </w:r>
      <w:r>
        <w:rPr>
          <w:rFonts w:eastAsia="Times New Roman" w:cs="Times New Roman"/>
          <w:sz w:val="21"/>
          <w:szCs w:val="21"/>
          <w:lang w:eastAsia="en-GB"/>
        </w:rPr>
        <w:t xml:space="preserve">this existing </w:t>
      </w:r>
      <w:r w:rsidRPr="00457768">
        <w:rPr>
          <w:rFonts w:eastAsia="Times New Roman" w:cs="Times New Roman"/>
          <w:sz w:val="21"/>
          <w:szCs w:val="21"/>
          <w:lang w:eastAsia="en-GB"/>
        </w:rPr>
        <w:t xml:space="preserve">information on the </w:t>
      </w:r>
      <w:r>
        <w:rPr>
          <w:rFonts w:eastAsia="Times New Roman" w:cs="Times New Roman"/>
          <w:sz w:val="21"/>
          <w:szCs w:val="21"/>
          <w:lang w:eastAsia="en-GB"/>
        </w:rPr>
        <w:t>39</w:t>
      </w:r>
      <w:r w:rsidRPr="00457768">
        <w:rPr>
          <w:rFonts w:eastAsia="Times New Roman" w:cs="Times New Roman"/>
          <w:sz w:val="21"/>
          <w:szCs w:val="21"/>
          <w:lang w:eastAsia="en-GB"/>
        </w:rPr>
        <w:t xml:space="preserve"> tracer indicators is </w:t>
      </w:r>
      <w:r>
        <w:rPr>
          <w:rFonts w:eastAsia="Times New Roman" w:cs="Times New Roman"/>
          <w:sz w:val="21"/>
          <w:szCs w:val="21"/>
          <w:lang w:eastAsia="en-GB"/>
        </w:rPr>
        <w:t>collated</w:t>
      </w:r>
      <w:r w:rsidRPr="00457768">
        <w:rPr>
          <w:rFonts w:eastAsia="Times New Roman" w:cs="Times New Roman"/>
          <w:sz w:val="21"/>
          <w:szCs w:val="21"/>
          <w:lang w:eastAsia="en-GB"/>
        </w:rPr>
        <w:t xml:space="preserve">, </w:t>
      </w:r>
      <w:r>
        <w:rPr>
          <w:rFonts w:eastAsia="Times New Roman" w:cs="Times New Roman"/>
          <w:sz w:val="21"/>
          <w:szCs w:val="21"/>
          <w:lang w:eastAsia="en-GB"/>
        </w:rPr>
        <w:t xml:space="preserve">WHO conducts a </w:t>
      </w:r>
      <w:r w:rsidRPr="00457768">
        <w:rPr>
          <w:rFonts w:eastAsia="Times New Roman" w:cs="Times New Roman"/>
          <w:sz w:val="21"/>
          <w:szCs w:val="21"/>
          <w:lang w:eastAsia="en-GB"/>
        </w:rPr>
        <w:t xml:space="preserve">country consultation with </w:t>
      </w:r>
      <w:r>
        <w:rPr>
          <w:rFonts w:eastAsia="Times New Roman" w:cs="Times New Roman"/>
          <w:sz w:val="21"/>
          <w:szCs w:val="21"/>
          <w:lang w:eastAsia="en-GB"/>
        </w:rPr>
        <w:t xml:space="preserve">nominated focal points from </w:t>
      </w:r>
      <w:r w:rsidRPr="00457768">
        <w:rPr>
          <w:rFonts w:eastAsia="Times New Roman" w:cs="Times New Roman"/>
          <w:sz w:val="21"/>
          <w:szCs w:val="21"/>
          <w:lang w:eastAsia="en-GB"/>
        </w:rPr>
        <w:t>national governments to re</w:t>
      </w:r>
      <w:r>
        <w:rPr>
          <w:rFonts w:eastAsia="Times New Roman" w:cs="Times New Roman"/>
          <w:sz w:val="21"/>
          <w:szCs w:val="21"/>
          <w:lang w:eastAsia="en-GB"/>
        </w:rPr>
        <w:t xml:space="preserve">view inputs and the calculation </w:t>
      </w:r>
      <w:r w:rsidRPr="00457768">
        <w:rPr>
          <w:rFonts w:eastAsia="Times New Roman" w:cs="Times New Roman"/>
          <w:sz w:val="21"/>
          <w:szCs w:val="21"/>
          <w:lang w:eastAsia="en-GB"/>
        </w:rPr>
        <w:t>of the index.</w:t>
      </w:r>
      <w:r w:rsidR="00994FE1">
        <w:rPr>
          <w:rFonts w:eastAsia="Times New Roman" w:cs="Times New Roman"/>
          <w:sz w:val="21"/>
          <w:szCs w:val="21"/>
          <w:lang w:eastAsia="en-GB"/>
        </w:rPr>
        <w:t xml:space="preserve"> </w:t>
      </w:r>
      <w:r w:rsidRPr="00457768">
        <w:rPr>
          <w:rFonts w:eastAsia="Times New Roman" w:cs="Times New Roman"/>
          <w:sz w:val="21"/>
          <w:szCs w:val="21"/>
          <w:lang w:eastAsia="en-GB"/>
        </w:rPr>
        <w:t xml:space="preserve"> </w:t>
      </w:r>
      <w:r>
        <w:rPr>
          <w:rFonts w:eastAsia="Times New Roman" w:cs="Times New Roman"/>
          <w:sz w:val="21"/>
          <w:szCs w:val="21"/>
          <w:lang w:eastAsia="en-GB"/>
        </w:rPr>
        <w:t xml:space="preserve">WHO does not undertake new </w:t>
      </w:r>
      <w:r w:rsidRPr="00457768">
        <w:rPr>
          <w:rFonts w:eastAsia="Times New Roman" w:cs="Times New Roman"/>
          <w:sz w:val="21"/>
          <w:szCs w:val="21"/>
          <w:lang w:eastAsia="en-GB"/>
        </w:rPr>
        <w:t xml:space="preserve">estimation activities </w:t>
      </w:r>
      <w:r>
        <w:rPr>
          <w:rFonts w:eastAsia="Times New Roman" w:cs="Times New Roman"/>
          <w:sz w:val="21"/>
          <w:szCs w:val="21"/>
          <w:lang w:eastAsia="en-GB"/>
        </w:rPr>
        <w:t>to produce</w:t>
      </w:r>
      <w:r w:rsidRPr="00457768">
        <w:rPr>
          <w:rFonts w:eastAsia="Times New Roman" w:cs="Times New Roman"/>
          <w:sz w:val="21"/>
          <w:szCs w:val="21"/>
          <w:lang w:eastAsia="en-GB"/>
        </w:rPr>
        <w:t xml:space="preserve"> tracer indicator</w:t>
      </w:r>
      <w:r>
        <w:rPr>
          <w:rFonts w:eastAsia="Times New Roman" w:cs="Times New Roman"/>
          <w:sz w:val="21"/>
          <w:szCs w:val="21"/>
          <w:lang w:eastAsia="en-GB"/>
        </w:rPr>
        <w:t xml:space="preserve"> values</w:t>
      </w:r>
      <w:r w:rsidRPr="00457768">
        <w:rPr>
          <w:rFonts w:eastAsia="Times New Roman" w:cs="Times New Roman"/>
          <w:sz w:val="21"/>
          <w:szCs w:val="21"/>
          <w:lang w:eastAsia="en-GB"/>
        </w:rPr>
        <w:t xml:space="preserve"> </w:t>
      </w:r>
      <w:r>
        <w:rPr>
          <w:rFonts w:eastAsia="Times New Roman" w:cs="Times New Roman"/>
          <w:sz w:val="21"/>
          <w:szCs w:val="21"/>
          <w:lang w:eastAsia="en-GB"/>
        </w:rPr>
        <w:t>for</w:t>
      </w:r>
      <w:r w:rsidRPr="00457768">
        <w:rPr>
          <w:rFonts w:eastAsia="Times New Roman" w:cs="Times New Roman"/>
          <w:sz w:val="21"/>
          <w:szCs w:val="21"/>
          <w:lang w:eastAsia="en-GB"/>
        </w:rPr>
        <w:t xml:space="preserve"> the service coverage index; rather, the index is designed to make use of existing and well-</w:t>
      </w:r>
      <w:r>
        <w:rPr>
          <w:rFonts w:eastAsia="Times New Roman" w:cs="Times New Roman"/>
          <w:sz w:val="21"/>
          <w:szCs w:val="21"/>
          <w:lang w:eastAsia="en-GB"/>
        </w:rPr>
        <w:t>established</w:t>
      </w:r>
      <w:r w:rsidRPr="00457768">
        <w:rPr>
          <w:rFonts w:eastAsia="Times New Roman" w:cs="Times New Roman"/>
          <w:sz w:val="21"/>
          <w:szCs w:val="21"/>
          <w:lang w:eastAsia="en-GB"/>
        </w:rPr>
        <w:t xml:space="preserve"> indicator data series to reduce reporting burden.</w:t>
      </w:r>
    </w:p>
    <w:p w14:paraId="7DD835B3" w14:textId="77777777" w:rsidR="001A21B2" w:rsidRPr="00457768" w:rsidRDefault="001A21B2" w:rsidP="001A21B2">
      <w:pPr>
        <w:shd w:val="clear" w:color="auto" w:fill="FFFFFF"/>
        <w:spacing w:after="0"/>
        <w:rPr>
          <w:rFonts w:eastAsia="Times New Roman" w:cs="Times New Roman"/>
          <w:sz w:val="21"/>
          <w:szCs w:val="21"/>
          <w:lang w:eastAsia="en-GB"/>
        </w:rPr>
      </w:pPr>
    </w:p>
    <w:p w14:paraId="6A911A39" w14:textId="77777777" w:rsidR="001A21B2" w:rsidRPr="00CB1B95" w:rsidRDefault="001A21B2" w:rsidP="001A21B2">
      <w:pPr>
        <w:pBdr>
          <w:bottom w:val="single" w:sz="12" w:space="4" w:color="DDDDDD"/>
        </w:pBdr>
        <w:shd w:val="clear" w:color="auto" w:fill="FFFFFF"/>
        <w:spacing w:after="0"/>
        <w:outlineLvl w:val="2"/>
        <w:rPr>
          <w:rFonts w:eastAsia="Times New Roman" w:cs="Times New Roman"/>
          <w:color w:val="1C75BC"/>
          <w:sz w:val="36"/>
          <w:szCs w:val="36"/>
          <w:lang w:eastAsia="en-GB"/>
        </w:rPr>
      </w:pPr>
      <w:r w:rsidRPr="00573631">
        <w:rPr>
          <w:rFonts w:eastAsia="Times New Roman" w:cs="Times New Roman"/>
          <w:color w:val="1C75BC"/>
          <w:sz w:val="36"/>
          <w:szCs w:val="36"/>
          <w:lang w:eastAsia="en-GB"/>
        </w:rPr>
        <w:t>Data Availability</w:t>
      </w:r>
    </w:p>
    <w:p w14:paraId="5BA7E2D5" w14:textId="77777777" w:rsidR="001A21B2" w:rsidRPr="00573631" w:rsidRDefault="001A21B2" w:rsidP="001A21B2">
      <w:pPr>
        <w:shd w:val="clear" w:color="auto" w:fill="FFFFFF"/>
        <w:spacing w:after="0"/>
        <w:rPr>
          <w:rFonts w:eastAsia="Times New Roman" w:cs="Times New Roman"/>
          <w:color w:val="4A4A4A"/>
          <w:sz w:val="21"/>
          <w:szCs w:val="21"/>
          <w:lang w:eastAsia="en-GB"/>
        </w:rPr>
      </w:pPr>
      <w:r w:rsidRPr="00573631">
        <w:rPr>
          <w:rFonts w:eastAsia="Times New Roman" w:cs="Times New Roman"/>
          <w:b/>
          <w:bCs/>
          <w:color w:val="4A4A4A"/>
          <w:sz w:val="21"/>
          <w:szCs w:val="21"/>
          <w:lang w:eastAsia="en-GB"/>
        </w:rPr>
        <w:t>Description:</w:t>
      </w:r>
    </w:p>
    <w:p w14:paraId="52B5F552" w14:textId="02D53D95" w:rsidR="001A21B2" w:rsidRDefault="001A21B2" w:rsidP="001A21B2">
      <w:pPr>
        <w:shd w:val="clear" w:color="auto" w:fill="FFFFFF"/>
        <w:spacing w:after="0"/>
        <w:rPr>
          <w:rFonts w:eastAsia="Times New Roman" w:cs="Times New Roman"/>
          <w:sz w:val="21"/>
          <w:szCs w:val="21"/>
          <w:lang w:eastAsia="en-GB"/>
        </w:rPr>
      </w:pPr>
      <w:r w:rsidRPr="00CF4882">
        <w:rPr>
          <w:rFonts w:eastAsia="Times New Roman" w:cs="Times New Roman"/>
          <w:sz w:val="21"/>
          <w:szCs w:val="21"/>
          <w:lang w:eastAsia="en-GB"/>
        </w:rPr>
        <w:t xml:space="preserve">Summarizing data availability for the UHC service coverage index is not straightforward, as different data sources are used across the </w:t>
      </w:r>
      <w:r>
        <w:rPr>
          <w:rFonts w:eastAsia="Times New Roman" w:cs="Times New Roman"/>
          <w:sz w:val="21"/>
          <w:szCs w:val="21"/>
          <w:lang w:eastAsia="en-GB"/>
        </w:rPr>
        <w:t>39</w:t>
      </w:r>
      <w:r w:rsidRPr="00CF4882">
        <w:rPr>
          <w:rFonts w:eastAsia="Times New Roman" w:cs="Times New Roman"/>
          <w:sz w:val="21"/>
          <w:szCs w:val="21"/>
          <w:lang w:eastAsia="en-GB"/>
        </w:rPr>
        <w:t xml:space="preserve"> tracer indicators</w:t>
      </w:r>
      <w:r>
        <w:rPr>
          <w:rFonts w:eastAsia="Times New Roman" w:cs="Times New Roman"/>
          <w:sz w:val="21"/>
          <w:szCs w:val="21"/>
          <w:lang w:eastAsia="en-GB"/>
        </w:rPr>
        <w:t xml:space="preserve">.  Moreover, some indicators are necessarily restricted to the sub-set of countries in which the health condition occurs (malaria and NTDs). </w:t>
      </w:r>
      <w:r w:rsidR="00994FE1">
        <w:rPr>
          <w:rFonts w:eastAsia="Times New Roman" w:cs="Times New Roman"/>
          <w:sz w:val="21"/>
          <w:szCs w:val="21"/>
          <w:lang w:eastAsia="en-GB"/>
        </w:rPr>
        <w:t xml:space="preserve"> </w:t>
      </w:r>
      <w:r>
        <w:rPr>
          <w:rFonts w:eastAsia="Times New Roman" w:cs="Times New Roman"/>
          <w:sz w:val="21"/>
          <w:szCs w:val="21"/>
          <w:lang w:eastAsia="en-GB"/>
        </w:rPr>
        <w:t xml:space="preserve">Additionally, </w:t>
      </w:r>
      <w:r w:rsidRPr="00CF4882">
        <w:rPr>
          <w:rFonts w:eastAsia="Times New Roman" w:cs="Times New Roman"/>
          <w:sz w:val="21"/>
          <w:szCs w:val="21"/>
          <w:lang w:eastAsia="en-GB"/>
        </w:rPr>
        <w:t>for many indicators comparable estimates have been produced, in m</w:t>
      </w:r>
      <w:r>
        <w:rPr>
          <w:rFonts w:eastAsia="Times New Roman" w:cs="Times New Roman"/>
          <w:sz w:val="21"/>
          <w:szCs w:val="21"/>
          <w:lang w:eastAsia="en-GB"/>
        </w:rPr>
        <w:t xml:space="preserve">any cases drawing on different </w:t>
      </w:r>
      <w:r w:rsidRPr="00CF4882">
        <w:rPr>
          <w:rFonts w:eastAsia="Times New Roman" w:cs="Times New Roman"/>
          <w:sz w:val="21"/>
          <w:szCs w:val="21"/>
          <w:lang w:eastAsia="en-GB"/>
        </w:rPr>
        <w:t xml:space="preserve">types of underlying data sources to inform the estimates while also </w:t>
      </w:r>
      <w:r>
        <w:rPr>
          <w:rFonts w:eastAsia="Times New Roman" w:cs="Times New Roman"/>
          <w:sz w:val="21"/>
          <w:szCs w:val="21"/>
          <w:lang w:eastAsia="en-GB"/>
        </w:rPr>
        <w:t>using</w:t>
      </w:r>
      <w:r w:rsidRPr="00CF4882">
        <w:rPr>
          <w:rFonts w:eastAsia="Times New Roman" w:cs="Times New Roman"/>
          <w:sz w:val="21"/>
          <w:szCs w:val="21"/>
          <w:lang w:eastAsia="en-GB"/>
        </w:rPr>
        <w:t xml:space="preserve"> projections to impute missing values. </w:t>
      </w:r>
      <w:r>
        <w:rPr>
          <w:rFonts w:eastAsia="Times New Roman" w:cs="Times New Roman"/>
          <w:sz w:val="21"/>
          <w:szCs w:val="21"/>
          <w:lang w:eastAsia="en-GB"/>
        </w:rPr>
        <w:t xml:space="preserve"> Table 3 summarizes data availability for each of the component indicators.</w:t>
      </w:r>
    </w:p>
    <w:p w14:paraId="299132DE" w14:textId="77777777" w:rsidR="001A21B2" w:rsidRDefault="001A21B2" w:rsidP="001A21B2">
      <w:pPr>
        <w:shd w:val="clear" w:color="auto" w:fill="FFFFFF"/>
        <w:spacing w:after="0"/>
        <w:rPr>
          <w:rFonts w:eastAsia="Times New Roman" w:cs="Times New Roman"/>
          <w:sz w:val="21"/>
          <w:szCs w:val="21"/>
          <w:lang w:eastAsia="en-GB"/>
        </w:rPr>
      </w:pPr>
    </w:p>
    <w:p w14:paraId="42592D97" w14:textId="364CC4B8" w:rsidR="001A21B2" w:rsidRDefault="001A21B2" w:rsidP="001A21B2">
      <w:pPr>
        <w:shd w:val="clear" w:color="auto" w:fill="FFFFFF"/>
        <w:spacing w:after="0"/>
        <w:rPr>
          <w:rFonts w:eastAsia="Times New Roman" w:cs="Times New Roman"/>
          <w:sz w:val="21"/>
          <w:szCs w:val="21"/>
          <w:lang w:eastAsia="en-GB"/>
        </w:rPr>
      </w:pPr>
      <w:r w:rsidRPr="00CF4882">
        <w:rPr>
          <w:rFonts w:eastAsia="Times New Roman" w:cs="Times New Roman"/>
          <w:sz w:val="21"/>
          <w:szCs w:val="21"/>
          <w:lang w:eastAsia="en-GB"/>
        </w:rPr>
        <w:t>Based on the underlying data sources for each of the tracer indicators (i.e., ignoring estimates and projections), the average proportion of</w:t>
      </w:r>
      <w:r>
        <w:rPr>
          <w:rFonts w:eastAsia="Times New Roman" w:cs="Times New Roman"/>
          <w:sz w:val="21"/>
          <w:szCs w:val="21"/>
          <w:lang w:eastAsia="en-GB"/>
        </w:rPr>
        <w:t xml:space="preserve"> </w:t>
      </w:r>
      <w:r w:rsidRPr="00CF4882">
        <w:rPr>
          <w:rFonts w:eastAsia="Times New Roman" w:cs="Times New Roman"/>
          <w:sz w:val="21"/>
          <w:szCs w:val="21"/>
          <w:lang w:eastAsia="en-GB"/>
        </w:rPr>
        <w:t xml:space="preserve">indicators used to compute the index with underlying data </w:t>
      </w:r>
      <w:r w:rsidR="00585A4F">
        <w:rPr>
          <w:rFonts w:eastAsia="Times New Roman" w:cs="Times New Roman"/>
          <w:sz w:val="21"/>
          <w:szCs w:val="21"/>
          <w:lang w:eastAsia="en-GB"/>
        </w:rPr>
        <w:t>available since 2010</w:t>
      </w:r>
      <w:r w:rsidR="00207343">
        <w:rPr>
          <w:rStyle w:val="FootnoteReference"/>
          <w:rFonts w:eastAsia="Times New Roman" w:cs="Times New Roman"/>
          <w:sz w:val="21"/>
          <w:szCs w:val="21"/>
          <w:lang w:eastAsia="en-GB"/>
        </w:rPr>
        <w:footnoteReference w:id="5"/>
      </w:r>
      <w:r w:rsidR="00207343">
        <w:rPr>
          <w:rFonts w:eastAsia="Times New Roman" w:cs="Times New Roman"/>
          <w:sz w:val="21"/>
          <w:szCs w:val="21"/>
          <w:lang w:eastAsia="en-GB"/>
        </w:rPr>
        <w:t xml:space="preserve"> </w:t>
      </w:r>
      <w:r w:rsidR="00585A4F">
        <w:rPr>
          <w:rFonts w:eastAsia="Times New Roman" w:cs="Times New Roman"/>
          <w:sz w:val="21"/>
          <w:szCs w:val="21"/>
          <w:lang w:eastAsia="en-GB"/>
        </w:rPr>
        <w:t>is over</w:t>
      </w:r>
      <w:r w:rsidRPr="00CF4882">
        <w:rPr>
          <w:rFonts w:eastAsia="Times New Roman" w:cs="Times New Roman"/>
          <w:sz w:val="21"/>
          <w:szCs w:val="21"/>
          <w:lang w:eastAsia="en-GB"/>
        </w:rPr>
        <w:t xml:space="preserve"> </w:t>
      </w:r>
      <w:r>
        <w:rPr>
          <w:rFonts w:eastAsia="Times New Roman" w:cs="Times New Roman"/>
          <w:sz w:val="21"/>
          <w:szCs w:val="21"/>
          <w:lang w:eastAsia="en-GB"/>
        </w:rPr>
        <w:t>60</w:t>
      </w:r>
      <w:r w:rsidRPr="00B7308B">
        <w:rPr>
          <w:rFonts w:eastAsia="Times New Roman" w:cs="Times New Roman"/>
          <w:sz w:val="21"/>
          <w:szCs w:val="21"/>
          <w:lang w:eastAsia="en-GB"/>
        </w:rPr>
        <w:t>% a</w:t>
      </w:r>
      <w:r w:rsidR="00585A4F">
        <w:rPr>
          <w:rFonts w:eastAsia="Times New Roman" w:cs="Times New Roman"/>
          <w:sz w:val="21"/>
          <w:szCs w:val="21"/>
          <w:lang w:eastAsia="en-GB"/>
        </w:rPr>
        <w:t xml:space="preserve">cross </w:t>
      </w:r>
      <w:r w:rsidR="00AE2F0A">
        <w:rPr>
          <w:rFonts w:eastAsia="Times New Roman" w:cs="Times New Roman"/>
          <w:sz w:val="21"/>
          <w:szCs w:val="21"/>
          <w:lang w:eastAsia="en-GB"/>
        </w:rPr>
        <w:t>31</w:t>
      </w:r>
      <w:r>
        <w:rPr>
          <w:rFonts w:eastAsia="Times New Roman" w:cs="Times New Roman"/>
          <w:sz w:val="21"/>
          <w:szCs w:val="21"/>
          <w:lang w:eastAsia="en-GB"/>
        </w:rPr>
        <w:t xml:space="preserve"> of the 39 indicators for which data are currently available. </w:t>
      </w:r>
      <w:r w:rsidR="00994FE1">
        <w:rPr>
          <w:rFonts w:eastAsia="Times New Roman" w:cs="Times New Roman"/>
          <w:sz w:val="21"/>
          <w:szCs w:val="21"/>
          <w:lang w:eastAsia="en-GB"/>
        </w:rPr>
        <w:t xml:space="preserve"> </w:t>
      </w:r>
      <w:r>
        <w:rPr>
          <w:rFonts w:eastAsia="Times New Roman" w:cs="Times New Roman"/>
          <w:sz w:val="21"/>
          <w:szCs w:val="21"/>
          <w:lang w:eastAsia="en-GB"/>
        </w:rPr>
        <w:t>It is expected that this proportion will increase as greater attention is given to measurement of the service coverage index and that data will be made available on the remaining indicators.</w:t>
      </w:r>
      <w:r w:rsidR="00C664D5">
        <w:rPr>
          <w:rFonts w:eastAsia="Times New Roman" w:cs="Times New Roman"/>
          <w:sz w:val="21"/>
          <w:szCs w:val="21"/>
          <w:lang w:eastAsia="en-GB"/>
        </w:rPr>
        <w:t xml:space="preserve"> </w:t>
      </w:r>
    </w:p>
    <w:p w14:paraId="3A238F86" w14:textId="541E4511" w:rsidR="00752907" w:rsidRDefault="00752907" w:rsidP="001A21B2">
      <w:pPr>
        <w:shd w:val="clear" w:color="auto" w:fill="FFFFFF"/>
        <w:spacing w:after="0"/>
        <w:rPr>
          <w:rFonts w:eastAsia="Times New Roman" w:cs="Times New Roman"/>
          <w:sz w:val="21"/>
          <w:szCs w:val="21"/>
          <w:lang w:eastAsia="en-GB"/>
        </w:rPr>
      </w:pPr>
    </w:p>
    <w:p w14:paraId="284C87E0" w14:textId="7D6C53F0" w:rsidR="00752907" w:rsidRDefault="00752907" w:rsidP="001166FA">
      <w:pPr>
        <w:shd w:val="clear" w:color="auto" w:fill="FFFFFF"/>
        <w:spacing w:after="0"/>
        <w:rPr>
          <w:rFonts w:eastAsia="Times New Roman" w:cs="Times New Roman"/>
          <w:sz w:val="21"/>
          <w:szCs w:val="21"/>
          <w:lang w:eastAsia="en-GB"/>
        </w:rPr>
      </w:pPr>
      <w:r w:rsidRPr="00752907">
        <w:rPr>
          <w:rFonts w:eastAsia="Times New Roman" w:cs="Times New Roman"/>
          <w:sz w:val="21"/>
          <w:szCs w:val="21"/>
          <w:lang w:eastAsia="en-GB"/>
        </w:rPr>
        <w:t xml:space="preserve">Strengthening data and information systems for health is a key pillar of </w:t>
      </w:r>
      <w:r>
        <w:rPr>
          <w:rFonts w:eastAsia="Times New Roman" w:cs="Times New Roman"/>
          <w:sz w:val="21"/>
          <w:szCs w:val="21"/>
          <w:lang w:eastAsia="en-GB"/>
        </w:rPr>
        <w:t>WHO’s activities</w:t>
      </w:r>
      <w:r w:rsidRPr="00752907">
        <w:rPr>
          <w:rFonts w:eastAsia="Times New Roman" w:cs="Times New Roman"/>
          <w:sz w:val="21"/>
          <w:szCs w:val="21"/>
          <w:lang w:eastAsia="en-GB"/>
        </w:rPr>
        <w:t xml:space="preserve">. The following </w:t>
      </w:r>
      <w:r>
        <w:rPr>
          <w:rFonts w:eastAsia="Times New Roman" w:cs="Times New Roman"/>
          <w:sz w:val="21"/>
          <w:szCs w:val="21"/>
          <w:lang w:eastAsia="en-GB"/>
        </w:rPr>
        <w:t xml:space="preserve">activities </w:t>
      </w:r>
      <w:r w:rsidRPr="00752907">
        <w:rPr>
          <w:rFonts w:eastAsia="Times New Roman" w:cs="Times New Roman"/>
          <w:sz w:val="21"/>
          <w:szCs w:val="21"/>
          <w:lang w:eastAsia="en-GB"/>
        </w:rPr>
        <w:t xml:space="preserve">are </w:t>
      </w:r>
      <w:r>
        <w:rPr>
          <w:rFonts w:eastAsia="Times New Roman" w:cs="Times New Roman"/>
          <w:sz w:val="21"/>
          <w:szCs w:val="21"/>
          <w:lang w:eastAsia="en-GB"/>
        </w:rPr>
        <w:t xml:space="preserve">planned </w:t>
      </w:r>
      <w:r w:rsidRPr="00752907">
        <w:rPr>
          <w:rFonts w:eastAsia="Times New Roman" w:cs="Times New Roman"/>
          <w:sz w:val="21"/>
          <w:szCs w:val="21"/>
          <w:lang w:eastAsia="en-GB"/>
        </w:rPr>
        <w:t>in order to strengthen these systems:</w:t>
      </w:r>
      <w:r>
        <w:rPr>
          <w:rFonts w:eastAsia="Times New Roman" w:cs="Times New Roman"/>
          <w:sz w:val="21"/>
          <w:szCs w:val="21"/>
          <w:lang w:eastAsia="en-GB"/>
        </w:rPr>
        <w:t xml:space="preserve"> </w:t>
      </w:r>
      <w:r w:rsidRPr="00752907">
        <w:rPr>
          <w:rFonts w:eastAsia="Times New Roman" w:cs="Times New Roman"/>
          <w:sz w:val="21"/>
          <w:szCs w:val="21"/>
          <w:lang w:eastAsia="en-GB"/>
        </w:rPr>
        <w:t>(a)</w:t>
      </w:r>
      <w:r>
        <w:rPr>
          <w:rFonts w:eastAsia="Times New Roman" w:cs="Times New Roman"/>
          <w:sz w:val="21"/>
          <w:szCs w:val="21"/>
          <w:lang w:eastAsia="en-GB"/>
        </w:rPr>
        <w:t xml:space="preserve"> </w:t>
      </w:r>
      <w:r w:rsidRPr="00752907">
        <w:rPr>
          <w:rFonts w:eastAsia="Times New Roman" w:cs="Times New Roman"/>
          <w:sz w:val="21"/>
          <w:szCs w:val="21"/>
          <w:lang w:eastAsia="en-GB"/>
        </w:rPr>
        <w:t>Adaptation to the countr</w:t>
      </w:r>
      <w:r>
        <w:rPr>
          <w:rFonts w:eastAsia="Times New Roman" w:cs="Times New Roman"/>
          <w:sz w:val="21"/>
          <w:szCs w:val="21"/>
          <w:lang w:eastAsia="en-GB"/>
        </w:rPr>
        <w:t>y context: all the indicators have been chosen</w:t>
      </w:r>
      <w:r w:rsidRPr="00752907">
        <w:rPr>
          <w:rFonts w:eastAsia="Times New Roman" w:cs="Times New Roman"/>
          <w:sz w:val="21"/>
          <w:szCs w:val="21"/>
          <w:lang w:eastAsia="en-GB"/>
        </w:rPr>
        <w:t xml:space="preserve"> to suit </w:t>
      </w:r>
      <w:r>
        <w:rPr>
          <w:rFonts w:eastAsia="Times New Roman" w:cs="Times New Roman"/>
          <w:sz w:val="21"/>
          <w:szCs w:val="21"/>
          <w:lang w:eastAsia="en-GB"/>
        </w:rPr>
        <w:t xml:space="preserve">all </w:t>
      </w:r>
      <w:r w:rsidRPr="00752907">
        <w:rPr>
          <w:rFonts w:eastAsia="Times New Roman" w:cs="Times New Roman"/>
          <w:sz w:val="21"/>
          <w:szCs w:val="21"/>
          <w:lang w:eastAsia="en-GB"/>
        </w:rPr>
        <w:t>country contexts</w:t>
      </w:r>
      <w:r>
        <w:rPr>
          <w:rFonts w:eastAsia="Times New Roman" w:cs="Times New Roman"/>
          <w:sz w:val="21"/>
          <w:szCs w:val="21"/>
          <w:lang w:eastAsia="en-GB"/>
        </w:rPr>
        <w:t xml:space="preserve"> and will be combined into the index accounting for the country’s health burden</w:t>
      </w:r>
      <w:r w:rsidRPr="00752907">
        <w:rPr>
          <w:rFonts w:eastAsia="Times New Roman" w:cs="Times New Roman"/>
          <w:sz w:val="21"/>
          <w:szCs w:val="21"/>
          <w:lang w:eastAsia="en-GB"/>
        </w:rPr>
        <w:t>. (b)</w:t>
      </w:r>
      <w:r>
        <w:rPr>
          <w:rFonts w:eastAsia="Times New Roman" w:cs="Times New Roman"/>
          <w:sz w:val="21"/>
          <w:szCs w:val="21"/>
          <w:lang w:eastAsia="en-GB"/>
        </w:rPr>
        <w:t xml:space="preserve"> </w:t>
      </w:r>
      <w:r w:rsidRPr="00752907">
        <w:rPr>
          <w:rFonts w:eastAsia="Times New Roman" w:cs="Times New Roman"/>
          <w:sz w:val="21"/>
          <w:szCs w:val="21"/>
          <w:lang w:eastAsia="en-GB"/>
        </w:rPr>
        <w:t xml:space="preserve">Data availability: the measurement </w:t>
      </w:r>
      <w:r>
        <w:rPr>
          <w:rFonts w:eastAsia="Times New Roman" w:cs="Times New Roman"/>
          <w:sz w:val="21"/>
          <w:szCs w:val="21"/>
          <w:lang w:eastAsia="en-GB"/>
        </w:rPr>
        <w:t xml:space="preserve">of UHC </w:t>
      </w:r>
      <w:r w:rsidRPr="00752907">
        <w:rPr>
          <w:rFonts w:eastAsia="Times New Roman" w:cs="Times New Roman"/>
          <w:sz w:val="21"/>
          <w:szCs w:val="21"/>
          <w:lang w:eastAsia="en-GB"/>
        </w:rPr>
        <w:t xml:space="preserve">will require reliable, timely, affordable, country-owned and accessible data, including disaggregation to enable analysis by equity </w:t>
      </w:r>
      <w:r>
        <w:rPr>
          <w:rFonts w:eastAsia="Times New Roman" w:cs="Times New Roman"/>
          <w:sz w:val="21"/>
          <w:szCs w:val="21"/>
          <w:lang w:eastAsia="en-GB"/>
        </w:rPr>
        <w:t xml:space="preserve">and gender. </w:t>
      </w:r>
      <w:r w:rsidRPr="00752907">
        <w:rPr>
          <w:rFonts w:eastAsia="Times New Roman" w:cs="Times New Roman"/>
          <w:sz w:val="21"/>
          <w:szCs w:val="21"/>
          <w:lang w:eastAsia="en-GB"/>
        </w:rPr>
        <w:t xml:space="preserve">Although data are available in many countries, several gaps remain.  </w:t>
      </w:r>
      <w:r>
        <w:rPr>
          <w:rFonts w:eastAsia="Times New Roman" w:cs="Times New Roman"/>
          <w:sz w:val="21"/>
          <w:szCs w:val="21"/>
          <w:lang w:eastAsia="en-GB"/>
        </w:rPr>
        <w:t>WHO</w:t>
      </w:r>
      <w:r w:rsidRPr="00752907">
        <w:rPr>
          <w:rFonts w:eastAsia="Times New Roman" w:cs="Times New Roman"/>
          <w:sz w:val="21"/>
          <w:szCs w:val="21"/>
          <w:lang w:eastAsia="en-GB"/>
        </w:rPr>
        <w:t xml:space="preserve"> will work with Member States, in partnership with national statistical offices, to strengthen national data systems to fill these data gaps and expects to make rapid progress toward this goal.</w:t>
      </w:r>
      <w:r>
        <w:rPr>
          <w:rFonts w:eastAsia="Times New Roman" w:cs="Times New Roman"/>
          <w:sz w:val="21"/>
          <w:szCs w:val="21"/>
          <w:lang w:eastAsia="en-GB"/>
        </w:rPr>
        <w:t xml:space="preserve"> (c</w:t>
      </w:r>
      <w:r w:rsidRPr="00752907">
        <w:rPr>
          <w:rFonts w:eastAsia="Times New Roman" w:cs="Times New Roman"/>
          <w:sz w:val="21"/>
          <w:szCs w:val="21"/>
          <w:lang w:eastAsia="en-GB"/>
        </w:rPr>
        <w:t>)</w:t>
      </w:r>
      <w:r>
        <w:rPr>
          <w:rFonts w:eastAsia="Times New Roman" w:cs="Times New Roman"/>
          <w:sz w:val="21"/>
          <w:szCs w:val="21"/>
          <w:lang w:eastAsia="en-GB"/>
        </w:rPr>
        <w:t xml:space="preserve"> Pro</w:t>
      </w:r>
      <w:r w:rsidRPr="00752907">
        <w:rPr>
          <w:rFonts w:eastAsia="Times New Roman" w:cs="Times New Roman"/>
          <w:sz w:val="21"/>
          <w:szCs w:val="21"/>
          <w:lang w:eastAsia="en-GB"/>
        </w:rPr>
        <w:t xml:space="preserve">vision of technical support: </w:t>
      </w:r>
      <w:r>
        <w:rPr>
          <w:rFonts w:eastAsia="Times New Roman" w:cs="Times New Roman"/>
          <w:sz w:val="21"/>
          <w:szCs w:val="21"/>
          <w:lang w:eastAsia="en-GB"/>
        </w:rPr>
        <w:t>WHO</w:t>
      </w:r>
      <w:r w:rsidRPr="00752907">
        <w:rPr>
          <w:rFonts w:eastAsia="Times New Roman" w:cs="Times New Roman"/>
          <w:sz w:val="21"/>
          <w:szCs w:val="21"/>
          <w:lang w:eastAsia="en-GB"/>
        </w:rPr>
        <w:t xml:space="preserve"> has a critical role to play, working with a diverse set of partners, including national statistical organizations, in providing support to countries to strengthen their data collection, analysis, interpretation and use, without which robust measurement of progress towards </w:t>
      </w:r>
      <w:r>
        <w:rPr>
          <w:rFonts w:eastAsia="Times New Roman" w:cs="Times New Roman"/>
          <w:sz w:val="21"/>
          <w:szCs w:val="21"/>
          <w:lang w:eastAsia="en-GB"/>
        </w:rPr>
        <w:t>UHC</w:t>
      </w:r>
      <w:r w:rsidRPr="00752907">
        <w:rPr>
          <w:rFonts w:eastAsia="Times New Roman" w:cs="Times New Roman"/>
          <w:sz w:val="21"/>
          <w:szCs w:val="21"/>
          <w:lang w:eastAsia="en-GB"/>
        </w:rPr>
        <w:t xml:space="preserve"> will not be possible. Specifically, countries will be provided with clear documentation of the methodology and </w:t>
      </w:r>
      <w:r>
        <w:rPr>
          <w:rFonts w:eastAsia="Times New Roman" w:cs="Times New Roman"/>
          <w:sz w:val="21"/>
          <w:szCs w:val="21"/>
          <w:lang w:eastAsia="en-GB"/>
        </w:rPr>
        <w:t>WHO</w:t>
      </w:r>
      <w:r w:rsidRPr="00752907">
        <w:rPr>
          <w:rFonts w:eastAsia="Times New Roman" w:cs="Times New Roman"/>
          <w:sz w:val="21"/>
          <w:szCs w:val="21"/>
          <w:lang w:eastAsia="en-GB"/>
        </w:rPr>
        <w:t xml:space="preserve"> will provide support to countries in their own measurement of the ind</w:t>
      </w:r>
      <w:r>
        <w:rPr>
          <w:rFonts w:eastAsia="Times New Roman" w:cs="Times New Roman"/>
          <w:sz w:val="21"/>
          <w:szCs w:val="21"/>
          <w:lang w:eastAsia="en-GB"/>
        </w:rPr>
        <w:t>ex and the underlying indicators</w:t>
      </w:r>
      <w:r w:rsidR="001166FA">
        <w:rPr>
          <w:rFonts w:eastAsia="Times New Roman" w:cs="Times New Roman"/>
          <w:sz w:val="21"/>
          <w:szCs w:val="21"/>
          <w:lang w:eastAsia="en-GB"/>
        </w:rPr>
        <w:t>.</w:t>
      </w:r>
    </w:p>
    <w:p w14:paraId="7236C382" w14:textId="77777777" w:rsidR="001A21B2" w:rsidRPr="00CF4882" w:rsidRDefault="001A21B2" w:rsidP="001A21B2">
      <w:pPr>
        <w:shd w:val="clear" w:color="auto" w:fill="FFFFFF"/>
        <w:spacing w:after="0"/>
        <w:rPr>
          <w:rFonts w:eastAsia="Times New Roman" w:cs="Times New Roman"/>
          <w:sz w:val="21"/>
          <w:szCs w:val="21"/>
          <w:lang w:eastAsia="en-GB"/>
        </w:rPr>
      </w:pPr>
    </w:p>
    <w:p w14:paraId="39F74145" w14:textId="77777777" w:rsidR="001A21B2" w:rsidRPr="00573631" w:rsidRDefault="001A21B2" w:rsidP="001A21B2">
      <w:pPr>
        <w:keepNext/>
        <w:keepLines/>
        <w:shd w:val="clear" w:color="auto" w:fill="FFFFFF"/>
        <w:spacing w:after="0"/>
        <w:rPr>
          <w:rFonts w:eastAsia="Times New Roman" w:cs="Times New Roman"/>
          <w:color w:val="4A4A4A"/>
          <w:sz w:val="21"/>
          <w:szCs w:val="21"/>
          <w:lang w:eastAsia="en-GB"/>
        </w:rPr>
      </w:pPr>
      <w:r w:rsidRPr="00573631">
        <w:rPr>
          <w:rFonts w:eastAsia="Times New Roman" w:cs="Times New Roman"/>
          <w:b/>
          <w:bCs/>
          <w:color w:val="4A4A4A"/>
          <w:sz w:val="21"/>
          <w:szCs w:val="21"/>
          <w:lang w:eastAsia="en-GB"/>
        </w:rPr>
        <w:t>Time series:</w:t>
      </w:r>
    </w:p>
    <w:p w14:paraId="5D8FD566" w14:textId="77777777" w:rsidR="001A21B2" w:rsidRDefault="001A21B2" w:rsidP="001A21B2">
      <w:pPr>
        <w:keepNext/>
        <w:keepLines/>
        <w:shd w:val="clear" w:color="auto" w:fill="FFFFFF"/>
        <w:spacing w:after="0"/>
        <w:rPr>
          <w:rFonts w:eastAsia="Times New Roman" w:cs="Times New Roman"/>
          <w:sz w:val="21"/>
          <w:szCs w:val="21"/>
          <w:lang w:eastAsia="en-GB"/>
        </w:rPr>
      </w:pPr>
      <w:r w:rsidRPr="00426D7E">
        <w:rPr>
          <w:rFonts w:eastAsia="Times New Roman" w:cs="Times New Roman"/>
          <w:sz w:val="21"/>
          <w:szCs w:val="21"/>
          <w:lang w:eastAsia="en-GB"/>
        </w:rPr>
        <w:t xml:space="preserve">A baseline value </w:t>
      </w:r>
      <w:r>
        <w:rPr>
          <w:rFonts w:eastAsia="Times New Roman" w:cs="Times New Roman"/>
          <w:sz w:val="21"/>
          <w:szCs w:val="21"/>
          <w:lang w:eastAsia="en-GB"/>
        </w:rPr>
        <w:t xml:space="preserve">for the UHC service coverage index for 2017 across 195 countries </w:t>
      </w:r>
      <w:r w:rsidRPr="00426D7E">
        <w:rPr>
          <w:rFonts w:eastAsia="Times New Roman" w:cs="Times New Roman"/>
          <w:sz w:val="21"/>
          <w:szCs w:val="21"/>
          <w:lang w:eastAsia="en-GB"/>
        </w:rPr>
        <w:t xml:space="preserve">will be </w:t>
      </w:r>
      <w:r>
        <w:rPr>
          <w:rFonts w:eastAsia="Times New Roman" w:cs="Times New Roman"/>
          <w:sz w:val="21"/>
          <w:szCs w:val="21"/>
          <w:lang w:eastAsia="en-GB"/>
        </w:rPr>
        <w:t>published in September 2019 in a report being prepared for the High-Level Meeting of the UN General Assembly on UHC.  As part of this process, data sources going back to 2000 will be assembled, and future work will involve time trends in the index.</w:t>
      </w:r>
    </w:p>
    <w:p w14:paraId="71FA8205" w14:textId="77777777" w:rsidR="001A21B2" w:rsidRPr="00426D7E" w:rsidRDefault="001A21B2" w:rsidP="001A21B2">
      <w:pPr>
        <w:keepNext/>
        <w:keepLines/>
        <w:shd w:val="clear" w:color="auto" w:fill="FFFFFF"/>
        <w:spacing w:after="0"/>
        <w:rPr>
          <w:rFonts w:eastAsia="Times New Roman" w:cs="Times New Roman"/>
          <w:sz w:val="21"/>
          <w:szCs w:val="21"/>
          <w:lang w:eastAsia="en-GB"/>
        </w:rPr>
      </w:pPr>
    </w:p>
    <w:p w14:paraId="325ADD19" w14:textId="77777777" w:rsidR="001A21B2" w:rsidRDefault="001A21B2" w:rsidP="001A21B2">
      <w:pPr>
        <w:pBdr>
          <w:bottom w:val="single" w:sz="12" w:space="4" w:color="DDDDDD"/>
        </w:pBdr>
        <w:shd w:val="clear" w:color="auto" w:fill="FFFFFF"/>
        <w:spacing w:after="0"/>
        <w:outlineLvl w:val="2"/>
        <w:rPr>
          <w:rFonts w:eastAsia="Times New Roman" w:cs="Times New Roman"/>
          <w:color w:val="1C75BC"/>
          <w:sz w:val="36"/>
          <w:szCs w:val="36"/>
          <w:lang w:eastAsia="en-GB"/>
        </w:rPr>
      </w:pPr>
      <w:r w:rsidRPr="00573631">
        <w:rPr>
          <w:rFonts w:eastAsia="Times New Roman" w:cs="Times New Roman"/>
          <w:color w:val="1C75BC"/>
          <w:sz w:val="36"/>
          <w:szCs w:val="36"/>
          <w:lang w:eastAsia="en-GB"/>
        </w:rPr>
        <w:t>Calendar</w:t>
      </w:r>
    </w:p>
    <w:p w14:paraId="62E0D57B" w14:textId="77777777" w:rsidR="001A21B2" w:rsidRPr="00573631" w:rsidRDefault="001A21B2" w:rsidP="001A21B2">
      <w:pPr>
        <w:shd w:val="clear" w:color="auto" w:fill="FFFFFF"/>
        <w:spacing w:after="0"/>
        <w:rPr>
          <w:rFonts w:eastAsia="Times New Roman" w:cs="Times New Roman"/>
          <w:color w:val="4A4A4A"/>
          <w:sz w:val="21"/>
          <w:szCs w:val="21"/>
          <w:lang w:eastAsia="en-GB"/>
        </w:rPr>
      </w:pPr>
      <w:r w:rsidRPr="00573631">
        <w:rPr>
          <w:rFonts w:eastAsia="Times New Roman" w:cs="Times New Roman"/>
          <w:b/>
          <w:bCs/>
          <w:color w:val="4A4A4A"/>
          <w:sz w:val="21"/>
          <w:szCs w:val="21"/>
          <w:lang w:eastAsia="en-GB"/>
        </w:rPr>
        <w:t>Data collection:</w:t>
      </w:r>
    </w:p>
    <w:p w14:paraId="666AC1DF" w14:textId="67FFCD7C" w:rsidR="001A21B2" w:rsidRDefault="001A21B2" w:rsidP="001A21B2">
      <w:pPr>
        <w:shd w:val="clear" w:color="auto" w:fill="FFFFFF"/>
        <w:tabs>
          <w:tab w:val="left" w:pos="1320"/>
        </w:tabs>
        <w:spacing w:after="0"/>
        <w:rPr>
          <w:rFonts w:eastAsia="Times New Roman" w:cs="Times New Roman"/>
          <w:sz w:val="21"/>
          <w:szCs w:val="21"/>
          <w:lang w:eastAsia="en-GB"/>
        </w:rPr>
      </w:pPr>
      <w:r w:rsidRPr="00457768">
        <w:rPr>
          <w:rFonts w:eastAsia="Times New Roman" w:cs="Times New Roman"/>
          <w:sz w:val="21"/>
          <w:szCs w:val="21"/>
          <w:lang w:eastAsia="en-GB"/>
        </w:rPr>
        <w:t xml:space="preserve">Data collection </w:t>
      </w:r>
      <w:r>
        <w:rPr>
          <w:rFonts w:eastAsia="Times New Roman" w:cs="Times New Roman"/>
          <w:sz w:val="21"/>
          <w:szCs w:val="21"/>
          <w:lang w:eastAsia="en-GB"/>
        </w:rPr>
        <w:t xml:space="preserve">is done on a continual basis as soon as a new dataset becomes available. </w:t>
      </w:r>
      <w:r w:rsidR="00994FE1">
        <w:rPr>
          <w:rFonts w:eastAsia="Times New Roman" w:cs="Times New Roman"/>
          <w:sz w:val="21"/>
          <w:szCs w:val="21"/>
          <w:lang w:eastAsia="en-GB"/>
        </w:rPr>
        <w:t xml:space="preserve"> </w:t>
      </w:r>
      <w:r>
        <w:rPr>
          <w:rFonts w:eastAsia="Times New Roman" w:cs="Times New Roman"/>
          <w:sz w:val="21"/>
          <w:szCs w:val="21"/>
          <w:lang w:eastAsia="en-GB"/>
        </w:rPr>
        <w:t>Data is collected from publicly available sources, assisted by WHO country and regional offices.</w:t>
      </w:r>
      <w:r w:rsidRPr="00457768">
        <w:rPr>
          <w:rFonts w:eastAsia="Times New Roman" w:cs="Times New Roman"/>
          <w:sz w:val="21"/>
          <w:szCs w:val="21"/>
          <w:lang w:eastAsia="en-GB"/>
        </w:rPr>
        <w:t xml:space="preserve"> </w:t>
      </w:r>
      <w:r w:rsidR="00994FE1">
        <w:rPr>
          <w:rFonts w:eastAsia="Times New Roman" w:cs="Times New Roman"/>
          <w:sz w:val="21"/>
          <w:szCs w:val="21"/>
          <w:lang w:eastAsia="en-GB"/>
        </w:rPr>
        <w:t xml:space="preserve"> </w:t>
      </w:r>
      <w:r w:rsidRPr="00457768">
        <w:rPr>
          <w:rFonts w:eastAsia="Times New Roman" w:cs="Times New Roman"/>
          <w:sz w:val="21"/>
          <w:szCs w:val="21"/>
          <w:lang w:eastAsia="en-GB"/>
        </w:rPr>
        <w:t>For example, country data on immunizations and HIV treatment are reported annually, whereas household surveys to collect information on child treatment may occur every 3-5 years, depending on the country.</w:t>
      </w:r>
      <w:r>
        <w:rPr>
          <w:rFonts w:eastAsia="Times New Roman" w:cs="Times New Roman"/>
          <w:sz w:val="21"/>
          <w:szCs w:val="21"/>
          <w:lang w:eastAsia="en-GB"/>
        </w:rPr>
        <w:t xml:space="preserve"> </w:t>
      </w:r>
      <w:r w:rsidR="00994FE1">
        <w:rPr>
          <w:rFonts w:eastAsia="Times New Roman" w:cs="Times New Roman"/>
          <w:sz w:val="21"/>
          <w:szCs w:val="21"/>
          <w:lang w:eastAsia="en-GB"/>
        </w:rPr>
        <w:t xml:space="preserve"> </w:t>
      </w:r>
      <w:r w:rsidR="00B87425" w:rsidRPr="00B87425">
        <w:rPr>
          <w:rFonts w:eastAsia="Times New Roman" w:cs="Times New Roman"/>
          <w:sz w:val="21"/>
          <w:szCs w:val="21"/>
          <w:lang w:eastAsia="en-GB"/>
        </w:rPr>
        <w:t xml:space="preserve">Each year the WHO collects data on births and deaths from vital statistics of </w:t>
      </w:r>
      <w:r w:rsidR="00B87425">
        <w:rPr>
          <w:rFonts w:eastAsia="Times New Roman" w:cs="Times New Roman"/>
          <w:sz w:val="21"/>
          <w:szCs w:val="21"/>
          <w:lang w:eastAsia="en-GB"/>
        </w:rPr>
        <w:t>states member</w:t>
      </w:r>
      <w:r w:rsidR="00B87425" w:rsidRPr="00B87425">
        <w:rPr>
          <w:rFonts w:eastAsia="Times New Roman" w:cs="Times New Roman"/>
          <w:sz w:val="21"/>
          <w:szCs w:val="21"/>
          <w:lang w:eastAsia="en-GB"/>
        </w:rPr>
        <w:t>s</w:t>
      </w:r>
      <w:r w:rsidR="00B87425">
        <w:rPr>
          <w:rFonts w:eastAsia="Times New Roman" w:cs="Times New Roman"/>
          <w:sz w:val="21"/>
          <w:szCs w:val="21"/>
          <w:lang w:eastAsia="en-GB"/>
        </w:rPr>
        <w:t xml:space="preserve">. </w:t>
      </w:r>
    </w:p>
    <w:p w14:paraId="289C8153" w14:textId="5B7AFCF0" w:rsidR="001A21B2" w:rsidRDefault="001A21B2" w:rsidP="001A21B2">
      <w:pPr>
        <w:shd w:val="clear" w:color="auto" w:fill="FFFFFF"/>
        <w:tabs>
          <w:tab w:val="left" w:pos="1320"/>
        </w:tabs>
        <w:spacing w:after="0"/>
        <w:rPr>
          <w:rFonts w:eastAsia="Times New Roman" w:cs="Times New Roman"/>
          <w:color w:val="4A4A4A"/>
          <w:sz w:val="21"/>
          <w:szCs w:val="21"/>
          <w:lang w:eastAsia="en-GB"/>
        </w:rPr>
      </w:pPr>
    </w:p>
    <w:p w14:paraId="171A038E" w14:textId="77777777" w:rsidR="001A21B2" w:rsidRPr="00573631" w:rsidRDefault="001A21B2" w:rsidP="001A21B2">
      <w:pPr>
        <w:shd w:val="clear" w:color="auto" w:fill="FFFFFF"/>
        <w:spacing w:after="0"/>
        <w:rPr>
          <w:rFonts w:eastAsia="Times New Roman" w:cs="Times New Roman"/>
          <w:color w:val="4A4A4A"/>
          <w:sz w:val="21"/>
          <w:szCs w:val="21"/>
          <w:lang w:eastAsia="en-GB"/>
        </w:rPr>
      </w:pPr>
      <w:r w:rsidRPr="00573631">
        <w:rPr>
          <w:rFonts w:eastAsia="Times New Roman" w:cs="Times New Roman"/>
          <w:b/>
          <w:bCs/>
          <w:color w:val="4A4A4A"/>
          <w:sz w:val="21"/>
          <w:szCs w:val="21"/>
          <w:lang w:eastAsia="en-GB"/>
        </w:rPr>
        <w:t>Data release:</w:t>
      </w:r>
    </w:p>
    <w:p w14:paraId="5C070D1D" w14:textId="77777777" w:rsidR="001A21B2" w:rsidRDefault="001A21B2" w:rsidP="001A21B2">
      <w:pPr>
        <w:shd w:val="clear" w:color="auto" w:fill="FFFFFF"/>
        <w:spacing w:after="0"/>
        <w:rPr>
          <w:rFonts w:eastAsia="Times New Roman" w:cs="Times New Roman"/>
          <w:sz w:val="21"/>
          <w:szCs w:val="21"/>
          <w:lang w:eastAsia="en-GB"/>
        </w:rPr>
      </w:pPr>
      <w:r w:rsidRPr="00457768">
        <w:rPr>
          <w:rFonts w:eastAsia="Times New Roman" w:cs="Times New Roman"/>
          <w:sz w:val="21"/>
          <w:szCs w:val="21"/>
          <w:lang w:eastAsia="en-GB"/>
        </w:rPr>
        <w:t xml:space="preserve">The first release of baseline values for the </w:t>
      </w:r>
      <w:r>
        <w:rPr>
          <w:rFonts w:eastAsia="Times New Roman" w:cs="Times New Roman"/>
          <w:sz w:val="21"/>
          <w:szCs w:val="21"/>
          <w:lang w:eastAsia="en-GB"/>
        </w:rPr>
        <w:t xml:space="preserve">updated </w:t>
      </w:r>
      <w:r w:rsidRPr="00457768">
        <w:rPr>
          <w:rFonts w:eastAsia="Times New Roman" w:cs="Times New Roman"/>
          <w:sz w:val="21"/>
          <w:szCs w:val="21"/>
          <w:lang w:eastAsia="en-GB"/>
        </w:rPr>
        <w:t xml:space="preserve">UHC service coverage index </w:t>
      </w:r>
      <w:r>
        <w:rPr>
          <w:rFonts w:eastAsia="Times New Roman" w:cs="Times New Roman"/>
          <w:sz w:val="21"/>
          <w:szCs w:val="21"/>
          <w:lang w:eastAsia="en-GB"/>
        </w:rPr>
        <w:t>is</w:t>
      </w:r>
      <w:r w:rsidRPr="00457768">
        <w:rPr>
          <w:rFonts w:eastAsia="Times New Roman" w:cs="Times New Roman"/>
          <w:sz w:val="21"/>
          <w:szCs w:val="21"/>
          <w:lang w:eastAsia="en-GB"/>
        </w:rPr>
        <w:t xml:space="preserve"> planned for </w:t>
      </w:r>
      <w:r>
        <w:rPr>
          <w:rFonts w:eastAsia="Times New Roman" w:cs="Times New Roman"/>
          <w:sz w:val="21"/>
          <w:szCs w:val="21"/>
          <w:lang w:eastAsia="en-GB"/>
        </w:rPr>
        <w:t>UHC report to be presented at the High-Level Segment of the 74</w:t>
      </w:r>
      <w:r w:rsidRPr="00961D6F">
        <w:rPr>
          <w:rFonts w:eastAsia="Times New Roman" w:cs="Times New Roman"/>
          <w:sz w:val="21"/>
          <w:szCs w:val="21"/>
          <w:vertAlign w:val="superscript"/>
          <w:lang w:eastAsia="en-GB"/>
        </w:rPr>
        <w:t>th</w:t>
      </w:r>
      <w:r>
        <w:rPr>
          <w:rFonts w:eastAsia="Times New Roman" w:cs="Times New Roman"/>
          <w:sz w:val="21"/>
          <w:szCs w:val="21"/>
          <w:lang w:eastAsia="en-GB"/>
        </w:rPr>
        <w:t xml:space="preserve"> UN General Assembly in New York in September</w:t>
      </w:r>
      <w:r w:rsidRPr="00457768">
        <w:rPr>
          <w:rFonts w:eastAsia="Times New Roman" w:cs="Times New Roman"/>
          <w:sz w:val="21"/>
          <w:szCs w:val="21"/>
          <w:lang w:eastAsia="en-GB"/>
        </w:rPr>
        <w:t xml:space="preserve">. </w:t>
      </w:r>
      <w:r>
        <w:rPr>
          <w:rFonts w:eastAsia="Times New Roman" w:cs="Times New Roman"/>
          <w:sz w:val="21"/>
          <w:szCs w:val="21"/>
          <w:lang w:eastAsia="en-GB"/>
        </w:rPr>
        <w:t xml:space="preserve">Updating of the baseline figures and regular tracking of country progress is planned on a biennial basis throughout the SDG period. </w:t>
      </w:r>
    </w:p>
    <w:p w14:paraId="5BB4A4C0" w14:textId="77777777" w:rsidR="00207343" w:rsidRPr="009B5732" w:rsidRDefault="00207343" w:rsidP="001A21B2">
      <w:pPr>
        <w:shd w:val="clear" w:color="auto" w:fill="FFFFFF"/>
        <w:spacing w:after="0"/>
        <w:rPr>
          <w:rFonts w:eastAsia="Times New Roman" w:cs="Times New Roman"/>
          <w:sz w:val="21"/>
          <w:szCs w:val="21"/>
          <w:lang w:eastAsia="en-GB"/>
        </w:rPr>
      </w:pPr>
    </w:p>
    <w:p w14:paraId="2B803EA7" w14:textId="77777777" w:rsidR="001A21B2" w:rsidRPr="00573631" w:rsidRDefault="001A21B2" w:rsidP="001A21B2">
      <w:pPr>
        <w:pBdr>
          <w:bottom w:val="single" w:sz="12" w:space="4" w:color="DDDDDD"/>
        </w:pBdr>
        <w:shd w:val="clear" w:color="auto" w:fill="FFFFFF"/>
        <w:spacing w:after="0"/>
        <w:outlineLvl w:val="2"/>
        <w:rPr>
          <w:rFonts w:eastAsia="Times New Roman" w:cs="Times New Roman"/>
          <w:color w:val="1C75BC"/>
          <w:sz w:val="36"/>
          <w:szCs w:val="36"/>
          <w:lang w:eastAsia="en-GB"/>
        </w:rPr>
      </w:pPr>
      <w:r w:rsidRPr="00573631">
        <w:rPr>
          <w:rFonts w:eastAsia="Times New Roman" w:cs="Times New Roman"/>
          <w:color w:val="1C75BC"/>
          <w:sz w:val="36"/>
          <w:szCs w:val="36"/>
          <w:lang w:eastAsia="en-GB"/>
        </w:rPr>
        <w:t>Data providers</w:t>
      </w:r>
    </w:p>
    <w:p w14:paraId="71F06887" w14:textId="77777777" w:rsidR="001A21B2" w:rsidRPr="00457768" w:rsidRDefault="001A21B2" w:rsidP="001A21B2">
      <w:pPr>
        <w:shd w:val="clear" w:color="auto" w:fill="FFFFFF"/>
        <w:spacing w:after="0"/>
        <w:rPr>
          <w:rFonts w:eastAsia="Times New Roman" w:cs="Times New Roman"/>
          <w:sz w:val="21"/>
          <w:szCs w:val="21"/>
          <w:lang w:eastAsia="en-GB"/>
        </w:rPr>
      </w:pPr>
      <w:r>
        <w:rPr>
          <w:rFonts w:eastAsia="Times New Roman" w:cs="Times New Roman"/>
          <w:sz w:val="21"/>
          <w:szCs w:val="21"/>
          <w:lang w:eastAsia="en-GB"/>
        </w:rPr>
        <w:t xml:space="preserve">National statistical systems are the sources of data, and they are provided through their routine online dissemination of data. National data are available from various national data providers in charge of registries, administrative records, as well as information collected through relevant population-based surveys, conducted by </w:t>
      </w:r>
      <w:r w:rsidRPr="00457768">
        <w:rPr>
          <w:rFonts w:eastAsia="Times New Roman" w:cs="Times New Roman"/>
          <w:sz w:val="21"/>
          <w:szCs w:val="21"/>
          <w:lang w:eastAsia="en-GB"/>
        </w:rPr>
        <w:t xml:space="preserve">National Statistical Offices </w:t>
      </w:r>
      <w:r>
        <w:rPr>
          <w:rFonts w:eastAsia="Times New Roman" w:cs="Times New Roman"/>
          <w:sz w:val="21"/>
          <w:szCs w:val="21"/>
          <w:lang w:eastAsia="en-GB"/>
        </w:rPr>
        <w:t xml:space="preserve">and Ministries of Health. </w:t>
      </w:r>
      <w:r w:rsidRPr="00457768">
        <w:rPr>
          <w:rFonts w:eastAsia="Times New Roman" w:cs="Times New Roman"/>
          <w:sz w:val="21"/>
          <w:szCs w:val="21"/>
          <w:lang w:eastAsia="en-GB"/>
        </w:rPr>
        <w:t xml:space="preserve"> </w:t>
      </w:r>
    </w:p>
    <w:p w14:paraId="2EE6F768" w14:textId="77777777" w:rsidR="001A21B2" w:rsidRPr="00573631" w:rsidRDefault="001A21B2" w:rsidP="001A21B2">
      <w:pPr>
        <w:shd w:val="clear" w:color="auto" w:fill="FFFFFF"/>
        <w:spacing w:after="0"/>
        <w:rPr>
          <w:rFonts w:eastAsia="Times New Roman" w:cs="Times New Roman"/>
          <w:color w:val="4A4A4A"/>
          <w:sz w:val="21"/>
          <w:szCs w:val="21"/>
          <w:lang w:eastAsia="en-GB"/>
        </w:rPr>
      </w:pPr>
    </w:p>
    <w:p w14:paraId="6DAE2E11" w14:textId="77777777" w:rsidR="001A21B2" w:rsidRPr="00573631" w:rsidRDefault="001A21B2" w:rsidP="001A21B2">
      <w:pPr>
        <w:pBdr>
          <w:bottom w:val="single" w:sz="12" w:space="4" w:color="DDDDDD"/>
        </w:pBdr>
        <w:shd w:val="clear" w:color="auto" w:fill="FFFFFF"/>
        <w:spacing w:after="0"/>
        <w:outlineLvl w:val="2"/>
        <w:rPr>
          <w:rFonts w:eastAsia="Times New Roman" w:cs="Times New Roman"/>
          <w:color w:val="1C75BC"/>
          <w:sz w:val="36"/>
          <w:szCs w:val="36"/>
          <w:lang w:eastAsia="en-GB"/>
        </w:rPr>
      </w:pPr>
      <w:r w:rsidRPr="00573631">
        <w:rPr>
          <w:rFonts w:eastAsia="Times New Roman" w:cs="Times New Roman"/>
          <w:color w:val="1C75BC"/>
          <w:sz w:val="36"/>
          <w:szCs w:val="36"/>
          <w:lang w:eastAsia="en-GB"/>
        </w:rPr>
        <w:t>Data compilers</w:t>
      </w:r>
    </w:p>
    <w:p w14:paraId="4E2A217C" w14:textId="46D7B516" w:rsidR="001A21B2" w:rsidRPr="00CB1B95" w:rsidRDefault="001A21B2" w:rsidP="001A21B2">
      <w:pPr>
        <w:shd w:val="clear" w:color="auto" w:fill="FFFFFF"/>
        <w:spacing w:after="0"/>
        <w:rPr>
          <w:rFonts w:eastAsia="Times New Roman" w:cs="Times New Roman"/>
          <w:color w:val="1C75BC"/>
          <w:sz w:val="36"/>
          <w:szCs w:val="36"/>
          <w:lang w:eastAsia="en-GB"/>
        </w:rPr>
      </w:pPr>
      <w:r w:rsidRPr="00457768">
        <w:rPr>
          <w:rFonts w:eastAsia="Times New Roman" w:cs="Times New Roman"/>
          <w:sz w:val="21"/>
          <w:szCs w:val="21"/>
          <w:lang w:eastAsia="en-GB"/>
        </w:rPr>
        <w:t xml:space="preserve">The World Health Organization, </w:t>
      </w:r>
      <w:r w:rsidR="00994FE1">
        <w:rPr>
          <w:rFonts w:eastAsia="Times New Roman" w:cs="Times New Roman"/>
          <w:sz w:val="21"/>
          <w:szCs w:val="21"/>
          <w:lang w:eastAsia="en-GB"/>
        </w:rPr>
        <w:t xml:space="preserve">in collaboration with related UN and </w:t>
      </w:r>
      <w:r w:rsidRPr="00457768">
        <w:rPr>
          <w:rFonts w:eastAsia="Times New Roman" w:cs="Times New Roman"/>
          <w:sz w:val="21"/>
          <w:szCs w:val="21"/>
          <w:lang w:eastAsia="en-GB"/>
        </w:rPr>
        <w:t>international agencies.</w:t>
      </w:r>
    </w:p>
    <w:p w14:paraId="41536DAF" w14:textId="77777777" w:rsidR="001A21B2" w:rsidRDefault="001A21B2" w:rsidP="001A21B2">
      <w:pPr>
        <w:spacing w:after="0" w:line="240" w:lineRule="auto"/>
        <w:rPr>
          <w:b/>
          <w:bCs/>
        </w:rPr>
      </w:pPr>
    </w:p>
    <w:p w14:paraId="38A3B209" w14:textId="77777777" w:rsidR="001A21B2" w:rsidRPr="00573631" w:rsidRDefault="001A21B2" w:rsidP="001A21B2">
      <w:pPr>
        <w:pBdr>
          <w:bottom w:val="single" w:sz="12" w:space="4" w:color="DDDDDD"/>
        </w:pBdr>
        <w:shd w:val="clear" w:color="auto" w:fill="FFFFFF"/>
        <w:spacing w:after="0"/>
        <w:outlineLvl w:val="2"/>
        <w:rPr>
          <w:rFonts w:eastAsia="Times New Roman" w:cs="Times New Roman"/>
          <w:color w:val="1C75BC"/>
          <w:sz w:val="36"/>
          <w:szCs w:val="36"/>
          <w:lang w:eastAsia="en-GB"/>
        </w:rPr>
      </w:pPr>
      <w:r w:rsidRPr="00573631">
        <w:rPr>
          <w:rFonts w:eastAsia="Times New Roman" w:cs="Times New Roman"/>
          <w:color w:val="1C75BC"/>
          <w:sz w:val="36"/>
          <w:szCs w:val="36"/>
          <w:lang w:eastAsia="en-GB"/>
        </w:rPr>
        <w:t>Related indicators</w:t>
      </w:r>
    </w:p>
    <w:p w14:paraId="7AF1C67A" w14:textId="77777777" w:rsidR="001A21B2" w:rsidRDefault="001A21B2" w:rsidP="001A21B2">
      <w:pPr>
        <w:shd w:val="clear" w:color="auto" w:fill="FFFFFF"/>
        <w:spacing w:after="0"/>
        <w:rPr>
          <w:rFonts w:eastAsia="Times New Roman" w:cs="Times New Roman"/>
          <w:sz w:val="21"/>
          <w:szCs w:val="21"/>
          <w:lang w:eastAsia="en-GB"/>
        </w:rPr>
      </w:pPr>
      <w:r w:rsidRPr="0070098F">
        <w:rPr>
          <w:rFonts w:eastAsia="Times New Roman" w:cs="Times New Roman"/>
          <w:sz w:val="21"/>
          <w:szCs w:val="21"/>
          <w:lang w:eastAsia="en-GB"/>
        </w:rPr>
        <w:t xml:space="preserve">The UHC service coverage index is designed to summarize existing indicators of health service coverage to ensure consistency with the SDGs and other global initiatives and reduce duplication and reporting burden.  </w:t>
      </w:r>
      <w:r w:rsidRPr="004811FD">
        <w:rPr>
          <w:rFonts w:eastAsia="Times New Roman" w:cs="Times New Roman"/>
          <w:sz w:val="21"/>
          <w:szCs w:val="21"/>
          <w:lang w:eastAsia="en-GB"/>
        </w:rPr>
        <w:t xml:space="preserve">The </w:t>
      </w:r>
      <w:r>
        <w:rPr>
          <w:rFonts w:eastAsia="Times New Roman" w:cs="Times New Roman"/>
          <w:sz w:val="21"/>
          <w:szCs w:val="21"/>
          <w:lang w:eastAsia="en-GB"/>
        </w:rPr>
        <w:t xml:space="preserve">table below shows which SDG indicators the various tracers are drawn from. </w:t>
      </w:r>
    </w:p>
    <w:p w14:paraId="285833E7" w14:textId="77777777" w:rsidR="001A21B2" w:rsidRDefault="001A21B2" w:rsidP="001A21B2">
      <w:pPr>
        <w:shd w:val="clear" w:color="auto" w:fill="FFFFFF"/>
        <w:spacing w:after="0"/>
        <w:rPr>
          <w:sz w:val="21"/>
        </w:rPr>
      </w:pPr>
    </w:p>
    <w:p w14:paraId="02DDC5E4" w14:textId="0B0A24FF" w:rsidR="00CB1B95" w:rsidRDefault="00CB1B95" w:rsidP="00BF132B">
      <w:pPr>
        <w:spacing w:after="0" w:line="240" w:lineRule="auto"/>
        <w:rPr>
          <w:b/>
          <w:bCs/>
        </w:rPr>
        <w:sectPr w:rsidR="00CB1B95">
          <w:footerReference w:type="default" r:id="rId12"/>
          <w:pgSz w:w="11906" w:h="16838"/>
          <w:pgMar w:top="1440" w:right="1440" w:bottom="1440" w:left="1440" w:header="720" w:footer="720" w:gutter="0"/>
          <w:cols w:space="720"/>
          <w:docGrid w:linePitch="360"/>
        </w:sectPr>
      </w:pPr>
    </w:p>
    <w:p w14:paraId="19E9E443" w14:textId="076F3536" w:rsidR="00094055" w:rsidRPr="004C19E9" w:rsidRDefault="00FC6171" w:rsidP="004C19E9">
      <w:pPr>
        <w:spacing w:after="0" w:line="240" w:lineRule="auto"/>
        <w:rPr>
          <w:rFonts w:eastAsia="Times New Roman" w:cs="Times New Roman"/>
          <w:b/>
          <w:bCs/>
          <w:sz w:val="21"/>
          <w:szCs w:val="21"/>
          <w:lang w:eastAsia="en-GB"/>
        </w:rPr>
      </w:pPr>
      <w:r>
        <w:rPr>
          <w:b/>
          <w:bCs/>
        </w:rPr>
        <w:t>Table</w:t>
      </w:r>
      <w:r w:rsidR="00994FE1">
        <w:rPr>
          <w:b/>
          <w:bCs/>
        </w:rPr>
        <w:t xml:space="preserve"> 1</w:t>
      </w:r>
      <w:r>
        <w:rPr>
          <w:b/>
          <w:bCs/>
        </w:rPr>
        <w:t>:</w:t>
      </w:r>
      <w:r w:rsidR="00BF132B" w:rsidRPr="005C6570">
        <w:rPr>
          <w:b/>
          <w:bCs/>
        </w:rPr>
        <w:t xml:space="preserve"> </w:t>
      </w:r>
      <w:r>
        <w:rPr>
          <w:b/>
          <w:bCs/>
        </w:rPr>
        <w:t>definitions and data availabilities</w:t>
      </w:r>
      <w:r w:rsidR="005E2008">
        <w:rPr>
          <w:b/>
          <w:bCs/>
        </w:rPr>
        <w:t xml:space="preserve"> for </w:t>
      </w:r>
      <w:r w:rsidR="007F6EAE">
        <w:rPr>
          <w:b/>
          <w:bCs/>
        </w:rPr>
        <w:t xml:space="preserve">UHC </w:t>
      </w:r>
      <w:r>
        <w:rPr>
          <w:b/>
          <w:bCs/>
        </w:rPr>
        <w:t xml:space="preserve">tracer </w:t>
      </w:r>
      <w:r w:rsidR="007F6EAE">
        <w:rPr>
          <w:rFonts w:eastAsia="Times New Roman" w:cs="Times New Roman"/>
          <w:b/>
          <w:bCs/>
          <w:sz w:val="21"/>
          <w:szCs w:val="21"/>
          <w:lang w:eastAsia="en-GB"/>
        </w:rPr>
        <w:t>indicators</w:t>
      </w:r>
      <w:r w:rsidR="00C5250B">
        <w:rPr>
          <w:rFonts w:eastAsia="Times New Roman" w:cs="Times New Roman"/>
          <w:b/>
          <w:bCs/>
          <w:sz w:val="21"/>
          <w:szCs w:val="21"/>
          <w:lang w:eastAsia="en-GB"/>
        </w:rPr>
        <w:t xml:space="preserve"> </w:t>
      </w:r>
    </w:p>
    <w:tbl>
      <w:tblPr>
        <w:tblW w:w="5840" w:type="pct"/>
        <w:tblInd w:w="-1175" w:type="dxa"/>
        <w:tblLayout w:type="fixed"/>
        <w:tblLook w:val="04A0" w:firstRow="1" w:lastRow="0" w:firstColumn="1" w:lastColumn="0" w:noHBand="0" w:noVBand="1"/>
      </w:tblPr>
      <w:tblGrid>
        <w:gridCol w:w="481"/>
        <w:gridCol w:w="3781"/>
        <w:gridCol w:w="1559"/>
        <w:gridCol w:w="3970"/>
        <w:gridCol w:w="2407"/>
        <w:gridCol w:w="20"/>
        <w:gridCol w:w="1205"/>
        <w:gridCol w:w="993"/>
        <w:gridCol w:w="1159"/>
        <w:gridCol w:w="980"/>
      </w:tblGrid>
      <w:tr w:rsidR="001166FA" w:rsidRPr="004C19E9" w14:paraId="64A29A7B" w14:textId="77777777" w:rsidTr="001166FA">
        <w:trPr>
          <w:trHeight w:val="315"/>
          <w:tblHeader/>
        </w:trPr>
        <w:tc>
          <w:tcPr>
            <w:tcW w:w="145" w:type="pct"/>
            <w:vMerge w:val="restart"/>
            <w:tcBorders>
              <w:top w:val="single" w:sz="4" w:space="0" w:color="auto"/>
              <w:left w:val="single" w:sz="4" w:space="0" w:color="auto"/>
              <w:bottom w:val="single" w:sz="4" w:space="0" w:color="auto"/>
              <w:right w:val="single" w:sz="4" w:space="0" w:color="auto"/>
            </w:tcBorders>
            <w:shd w:val="clear" w:color="auto" w:fill="auto"/>
            <w:noWrap/>
            <w:textDirection w:val="btLr"/>
            <w:vAlign w:val="center"/>
            <w:hideMark/>
          </w:tcPr>
          <w:p w14:paraId="7C5769D3" w14:textId="77777777" w:rsidR="004C19E9" w:rsidRPr="004C19E9" w:rsidRDefault="004C19E9" w:rsidP="004C19E9">
            <w:pPr>
              <w:spacing w:after="0" w:line="240" w:lineRule="auto"/>
              <w:jc w:val="center"/>
              <w:rPr>
                <w:rFonts w:ascii="Calibri" w:eastAsia="Times New Roman" w:hAnsi="Calibri" w:cs="Calibri"/>
                <w:b/>
                <w:bCs/>
                <w:color w:val="000000"/>
                <w:sz w:val="20"/>
                <w:szCs w:val="20"/>
                <w:lang w:val="en-US" w:eastAsia="en-US"/>
              </w:rPr>
            </w:pPr>
            <w:r w:rsidRPr="004C19E9">
              <w:rPr>
                <w:rFonts w:ascii="Calibri" w:eastAsia="Times New Roman" w:hAnsi="Calibri" w:cs="Calibri"/>
                <w:b/>
                <w:bCs/>
                <w:color w:val="000000"/>
                <w:sz w:val="20"/>
                <w:szCs w:val="20"/>
                <w:lang w:val="en-US" w:eastAsia="en-US"/>
              </w:rPr>
              <w:t xml:space="preserve">Number </w:t>
            </w:r>
          </w:p>
        </w:tc>
        <w:tc>
          <w:tcPr>
            <w:tcW w:w="1142" w:type="pct"/>
            <w:vMerge w:val="restart"/>
            <w:tcBorders>
              <w:top w:val="single" w:sz="4" w:space="0" w:color="auto"/>
              <w:left w:val="single" w:sz="4" w:space="0" w:color="auto"/>
              <w:bottom w:val="single" w:sz="4" w:space="0" w:color="auto"/>
              <w:right w:val="single" w:sz="4" w:space="0" w:color="auto"/>
            </w:tcBorders>
            <w:shd w:val="clear" w:color="000000" w:fill="548235"/>
            <w:vAlign w:val="center"/>
            <w:hideMark/>
          </w:tcPr>
          <w:p w14:paraId="4083C3B5" w14:textId="77777777" w:rsidR="004C19E9" w:rsidRPr="004C19E9" w:rsidRDefault="004C19E9" w:rsidP="004C19E9">
            <w:pPr>
              <w:spacing w:after="0" w:line="240" w:lineRule="auto"/>
              <w:jc w:val="center"/>
              <w:rPr>
                <w:rFonts w:ascii="Calibri" w:eastAsia="Times New Roman" w:hAnsi="Calibri" w:cs="Calibri"/>
                <w:b/>
                <w:bCs/>
                <w:color w:val="FFFFFF"/>
                <w:sz w:val="20"/>
                <w:szCs w:val="20"/>
                <w:lang w:val="en-US" w:eastAsia="en-US"/>
              </w:rPr>
            </w:pPr>
            <w:r w:rsidRPr="004C19E9">
              <w:rPr>
                <w:rFonts w:ascii="Calibri" w:eastAsia="Times New Roman" w:hAnsi="Calibri" w:cs="Calibri"/>
                <w:b/>
                <w:bCs/>
                <w:color w:val="FFFFFF"/>
                <w:sz w:val="20"/>
                <w:szCs w:val="20"/>
                <w:lang w:val="en-US" w:eastAsia="en-US"/>
              </w:rPr>
              <w:t>UHC Tracer Indicator (Effective Coverage or EC)</w:t>
            </w:r>
          </w:p>
        </w:tc>
        <w:tc>
          <w:tcPr>
            <w:tcW w:w="471" w:type="pct"/>
            <w:vMerge w:val="restart"/>
            <w:tcBorders>
              <w:top w:val="single" w:sz="4" w:space="0" w:color="auto"/>
              <w:left w:val="single" w:sz="4" w:space="0" w:color="auto"/>
              <w:bottom w:val="single" w:sz="4" w:space="0" w:color="auto"/>
              <w:right w:val="single" w:sz="4" w:space="0" w:color="auto"/>
            </w:tcBorders>
            <w:shd w:val="clear" w:color="000000" w:fill="548235"/>
            <w:vAlign w:val="center"/>
            <w:hideMark/>
          </w:tcPr>
          <w:p w14:paraId="19F7BA91" w14:textId="77777777" w:rsidR="004C19E9" w:rsidRPr="004C19E9" w:rsidRDefault="004C19E9" w:rsidP="004C19E9">
            <w:pPr>
              <w:spacing w:after="0" w:line="240" w:lineRule="auto"/>
              <w:jc w:val="center"/>
              <w:rPr>
                <w:rFonts w:ascii="Calibri" w:eastAsia="Times New Roman" w:hAnsi="Calibri" w:cs="Calibri"/>
                <w:color w:val="FFFFFF"/>
                <w:sz w:val="20"/>
                <w:szCs w:val="20"/>
                <w:lang w:val="en-US" w:eastAsia="en-US"/>
              </w:rPr>
            </w:pPr>
            <w:r w:rsidRPr="004C19E9">
              <w:rPr>
                <w:rFonts w:ascii="Calibri" w:eastAsia="Times New Roman" w:hAnsi="Calibri" w:cs="Calibri"/>
                <w:color w:val="FFFFFF"/>
                <w:sz w:val="20"/>
                <w:szCs w:val="20"/>
                <w:lang w:val="en-US" w:eastAsia="en-US"/>
              </w:rPr>
              <w:t>Type of Input Indicators</w:t>
            </w:r>
          </w:p>
        </w:tc>
        <w:tc>
          <w:tcPr>
            <w:tcW w:w="1199" w:type="pct"/>
            <w:vMerge w:val="restart"/>
            <w:tcBorders>
              <w:top w:val="single" w:sz="4" w:space="0" w:color="auto"/>
              <w:left w:val="single" w:sz="4" w:space="0" w:color="auto"/>
              <w:bottom w:val="single" w:sz="4" w:space="0" w:color="auto"/>
              <w:right w:val="single" w:sz="4" w:space="0" w:color="auto"/>
            </w:tcBorders>
            <w:shd w:val="clear" w:color="000000" w:fill="548235"/>
            <w:vAlign w:val="center"/>
            <w:hideMark/>
          </w:tcPr>
          <w:p w14:paraId="4FBD0EE9" w14:textId="77777777" w:rsidR="004C19E9" w:rsidRPr="004C19E9" w:rsidRDefault="004C19E9" w:rsidP="004C19E9">
            <w:pPr>
              <w:spacing w:after="0" w:line="240" w:lineRule="auto"/>
              <w:jc w:val="center"/>
              <w:rPr>
                <w:rFonts w:ascii="Calibri" w:eastAsia="Times New Roman" w:hAnsi="Calibri" w:cs="Calibri"/>
                <w:color w:val="FFFFFF"/>
                <w:sz w:val="20"/>
                <w:szCs w:val="20"/>
                <w:lang w:val="en-US" w:eastAsia="en-US"/>
              </w:rPr>
            </w:pPr>
            <w:r w:rsidRPr="004C19E9">
              <w:rPr>
                <w:rFonts w:ascii="Calibri" w:eastAsia="Times New Roman" w:hAnsi="Calibri" w:cs="Calibri"/>
                <w:color w:val="FFFFFF"/>
                <w:sz w:val="20"/>
                <w:szCs w:val="20"/>
                <w:lang w:val="en-US" w:eastAsia="en-US"/>
              </w:rPr>
              <w:t>Input indicators</w:t>
            </w:r>
          </w:p>
        </w:tc>
        <w:tc>
          <w:tcPr>
            <w:tcW w:w="733" w:type="pct"/>
            <w:gridSpan w:val="2"/>
            <w:vMerge w:val="restart"/>
            <w:tcBorders>
              <w:top w:val="single" w:sz="4" w:space="0" w:color="auto"/>
              <w:left w:val="single" w:sz="4" w:space="0" w:color="auto"/>
              <w:bottom w:val="single" w:sz="4" w:space="0" w:color="auto"/>
              <w:right w:val="single" w:sz="4" w:space="0" w:color="auto"/>
            </w:tcBorders>
            <w:shd w:val="clear" w:color="000000" w:fill="548235"/>
            <w:vAlign w:val="center"/>
            <w:hideMark/>
          </w:tcPr>
          <w:p w14:paraId="22F1F05D" w14:textId="77777777" w:rsidR="004C19E9" w:rsidRPr="004C19E9" w:rsidRDefault="004C19E9" w:rsidP="004C19E9">
            <w:pPr>
              <w:spacing w:after="0" w:line="240" w:lineRule="auto"/>
              <w:jc w:val="center"/>
              <w:rPr>
                <w:rFonts w:ascii="Calibri" w:eastAsia="Times New Roman" w:hAnsi="Calibri" w:cs="Calibri"/>
                <w:color w:val="FFFFFF"/>
                <w:sz w:val="20"/>
                <w:szCs w:val="20"/>
                <w:lang w:val="en-US" w:eastAsia="en-US"/>
              </w:rPr>
            </w:pPr>
            <w:r w:rsidRPr="004C19E9">
              <w:rPr>
                <w:rFonts w:ascii="Calibri" w:eastAsia="Times New Roman" w:hAnsi="Calibri" w:cs="Calibri"/>
                <w:color w:val="FFFFFF"/>
                <w:sz w:val="20"/>
                <w:szCs w:val="20"/>
                <w:lang w:val="en-US" w:eastAsia="en-US"/>
              </w:rPr>
              <w:t xml:space="preserve">Data sources </w:t>
            </w:r>
          </w:p>
        </w:tc>
        <w:tc>
          <w:tcPr>
            <w:tcW w:w="364" w:type="pct"/>
            <w:vMerge w:val="restart"/>
            <w:tcBorders>
              <w:top w:val="single" w:sz="4" w:space="0" w:color="auto"/>
              <w:left w:val="single" w:sz="4" w:space="0" w:color="auto"/>
              <w:bottom w:val="single" w:sz="4" w:space="0" w:color="auto"/>
              <w:right w:val="single" w:sz="4" w:space="0" w:color="auto"/>
            </w:tcBorders>
            <w:shd w:val="clear" w:color="000000" w:fill="548235"/>
            <w:vAlign w:val="center"/>
            <w:hideMark/>
          </w:tcPr>
          <w:p w14:paraId="369EF2F5" w14:textId="1C080A19" w:rsidR="004C19E9" w:rsidRPr="004C19E9" w:rsidRDefault="004C19E9" w:rsidP="004C19E9">
            <w:pPr>
              <w:spacing w:after="0" w:line="240" w:lineRule="auto"/>
              <w:jc w:val="center"/>
              <w:rPr>
                <w:rFonts w:ascii="Calibri" w:eastAsia="Times New Roman" w:hAnsi="Calibri" w:cs="Calibri"/>
                <w:color w:val="FFFFFF"/>
                <w:sz w:val="20"/>
                <w:szCs w:val="20"/>
                <w:lang w:val="en-US" w:eastAsia="en-US"/>
              </w:rPr>
            </w:pPr>
            <w:r w:rsidRPr="004C19E9">
              <w:rPr>
                <w:rFonts w:ascii="Calibri" w:eastAsia="Times New Roman" w:hAnsi="Calibri" w:cs="Calibri"/>
                <w:color w:val="FFFFFF"/>
                <w:sz w:val="20"/>
                <w:szCs w:val="20"/>
                <w:lang w:val="en-US" w:eastAsia="en-US"/>
              </w:rPr>
              <w:t>Countries or terr</w:t>
            </w:r>
            <w:r w:rsidR="000462B3">
              <w:rPr>
                <w:rFonts w:ascii="Calibri" w:eastAsia="Times New Roman" w:hAnsi="Calibri" w:cs="Calibri"/>
                <w:color w:val="FFFFFF"/>
                <w:sz w:val="20"/>
                <w:szCs w:val="20"/>
                <w:lang w:val="en-US" w:eastAsia="en-US"/>
              </w:rPr>
              <w:t>itories with data</w:t>
            </w:r>
            <w:r w:rsidRPr="004C19E9">
              <w:rPr>
                <w:rFonts w:ascii="Calibri" w:eastAsia="Times New Roman" w:hAnsi="Calibri" w:cs="Calibri"/>
                <w:color w:val="FFFFFF"/>
                <w:sz w:val="20"/>
                <w:szCs w:val="20"/>
                <w:lang w:val="en-US" w:eastAsia="en-US"/>
              </w:rPr>
              <w:t xml:space="preserve"> in 2010 or later</w:t>
            </w:r>
          </w:p>
        </w:tc>
        <w:tc>
          <w:tcPr>
            <w:tcW w:w="300" w:type="pct"/>
            <w:vMerge w:val="restart"/>
            <w:tcBorders>
              <w:top w:val="single" w:sz="4" w:space="0" w:color="auto"/>
              <w:left w:val="single" w:sz="4" w:space="0" w:color="auto"/>
              <w:bottom w:val="single" w:sz="4" w:space="0" w:color="auto"/>
              <w:right w:val="single" w:sz="4" w:space="0" w:color="auto"/>
            </w:tcBorders>
            <w:shd w:val="clear" w:color="000000" w:fill="548235"/>
            <w:vAlign w:val="center"/>
            <w:hideMark/>
          </w:tcPr>
          <w:p w14:paraId="0ADB6C4F" w14:textId="77777777" w:rsidR="004C19E9" w:rsidRPr="004C19E9" w:rsidRDefault="004C19E9" w:rsidP="004C19E9">
            <w:pPr>
              <w:spacing w:after="0" w:line="240" w:lineRule="auto"/>
              <w:jc w:val="center"/>
              <w:rPr>
                <w:rFonts w:ascii="Calibri" w:eastAsia="Times New Roman" w:hAnsi="Calibri" w:cs="Calibri"/>
                <w:color w:val="FFFFFF"/>
                <w:sz w:val="20"/>
                <w:szCs w:val="20"/>
                <w:lang w:val="en-US" w:eastAsia="en-US"/>
              </w:rPr>
            </w:pPr>
            <w:r w:rsidRPr="004C19E9">
              <w:rPr>
                <w:rFonts w:ascii="Calibri" w:eastAsia="Times New Roman" w:hAnsi="Calibri" w:cs="Calibri"/>
                <w:color w:val="FFFFFF"/>
                <w:sz w:val="20"/>
                <w:szCs w:val="20"/>
                <w:lang w:val="en-US" w:eastAsia="en-US"/>
              </w:rPr>
              <w:t>Data from 50% of countries</w:t>
            </w:r>
          </w:p>
        </w:tc>
        <w:tc>
          <w:tcPr>
            <w:tcW w:w="350" w:type="pct"/>
            <w:vMerge w:val="restart"/>
            <w:tcBorders>
              <w:top w:val="single" w:sz="4" w:space="0" w:color="auto"/>
              <w:left w:val="single" w:sz="4" w:space="0" w:color="auto"/>
              <w:bottom w:val="single" w:sz="4" w:space="0" w:color="auto"/>
              <w:right w:val="single" w:sz="4" w:space="0" w:color="auto"/>
            </w:tcBorders>
            <w:shd w:val="clear" w:color="000000" w:fill="548235"/>
            <w:vAlign w:val="center"/>
            <w:hideMark/>
          </w:tcPr>
          <w:p w14:paraId="1ED6DB3B" w14:textId="77777777" w:rsidR="004C19E9" w:rsidRPr="004C19E9" w:rsidRDefault="004C19E9" w:rsidP="004C19E9">
            <w:pPr>
              <w:spacing w:after="0" w:line="240" w:lineRule="auto"/>
              <w:jc w:val="center"/>
              <w:rPr>
                <w:rFonts w:ascii="Calibri" w:eastAsia="Times New Roman" w:hAnsi="Calibri" w:cs="Calibri"/>
                <w:color w:val="FFFFFF"/>
                <w:sz w:val="20"/>
                <w:szCs w:val="20"/>
                <w:lang w:val="en-US" w:eastAsia="en-US"/>
              </w:rPr>
            </w:pPr>
            <w:r w:rsidRPr="004C19E9">
              <w:rPr>
                <w:rFonts w:ascii="Calibri" w:eastAsia="Times New Roman" w:hAnsi="Calibri" w:cs="Calibri"/>
                <w:color w:val="FFFFFF"/>
                <w:sz w:val="20"/>
                <w:szCs w:val="20"/>
                <w:lang w:val="en-US" w:eastAsia="en-US"/>
              </w:rPr>
              <w:t>Data covering 50% of population</w:t>
            </w:r>
          </w:p>
        </w:tc>
        <w:tc>
          <w:tcPr>
            <w:tcW w:w="296" w:type="pct"/>
            <w:vMerge w:val="restart"/>
            <w:tcBorders>
              <w:top w:val="single" w:sz="4" w:space="0" w:color="auto"/>
              <w:left w:val="single" w:sz="4" w:space="0" w:color="auto"/>
              <w:bottom w:val="single" w:sz="4" w:space="0" w:color="auto"/>
              <w:right w:val="single" w:sz="4" w:space="0" w:color="auto"/>
            </w:tcBorders>
            <w:shd w:val="clear" w:color="000000" w:fill="548235"/>
            <w:vAlign w:val="center"/>
            <w:hideMark/>
          </w:tcPr>
          <w:p w14:paraId="33A539AE" w14:textId="77777777" w:rsidR="004C19E9" w:rsidRPr="004C19E9" w:rsidRDefault="004C19E9" w:rsidP="004C19E9">
            <w:pPr>
              <w:spacing w:after="0" w:line="240" w:lineRule="auto"/>
              <w:jc w:val="center"/>
              <w:rPr>
                <w:rFonts w:ascii="Calibri" w:eastAsia="Times New Roman" w:hAnsi="Calibri" w:cs="Calibri"/>
                <w:color w:val="FFFFFF"/>
                <w:sz w:val="20"/>
                <w:szCs w:val="20"/>
                <w:lang w:val="en-US" w:eastAsia="en-US"/>
              </w:rPr>
            </w:pPr>
            <w:r w:rsidRPr="004C19E9">
              <w:rPr>
                <w:rFonts w:ascii="Calibri" w:eastAsia="Times New Roman" w:hAnsi="Calibri" w:cs="Calibri"/>
                <w:color w:val="FFFFFF"/>
                <w:sz w:val="20"/>
                <w:szCs w:val="20"/>
                <w:lang w:val="en-US" w:eastAsia="en-US"/>
              </w:rPr>
              <w:t>Related SDG indicator</w:t>
            </w:r>
          </w:p>
        </w:tc>
      </w:tr>
      <w:tr w:rsidR="001166FA" w:rsidRPr="004C19E9" w14:paraId="0E9FFB8D" w14:textId="77777777" w:rsidTr="001166FA">
        <w:trPr>
          <w:trHeight w:val="810"/>
          <w:tblHeader/>
        </w:trPr>
        <w:tc>
          <w:tcPr>
            <w:tcW w:w="145" w:type="pct"/>
            <w:vMerge/>
            <w:tcBorders>
              <w:top w:val="single" w:sz="4" w:space="0" w:color="auto"/>
              <w:left w:val="single" w:sz="4" w:space="0" w:color="auto"/>
              <w:bottom w:val="single" w:sz="4" w:space="0" w:color="auto"/>
              <w:right w:val="single" w:sz="4" w:space="0" w:color="auto"/>
            </w:tcBorders>
            <w:vAlign w:val="center"/>
            <w:hideMark/>
          </w:tcPr>
          <w:p w14:paraId="4D0D4B75" w14:textId="77777777" w:rsidR="004C19E9" w:rsidRPr="004C19E9" w:rsidRDefault="004C19E9" w:rsidP="004C19E9">
            <w:pPr>
              <w:spacing w:after="0" w:line="240" w:lineRule="auto"/>
              <w:rPr>
                <w:rFonts w:ascii="Calibri" w:eastAsia="Times New Roman" w:hAnsi="Calibri" w:cs="Calibri"/>
                <w:b/>
                <w:bCs/>
                <w:color w:val="000000"/>
                <w:sz w:val="20"/>
                <w:szCs w:val="20"/>
                <w:lang w:val="en-US" w:eastAsia="en-US"/>
              </w:rPr>
            </w:pPr>
          </w:p>
        </w:tc>
        <w:tc>
          <w:tcPr>
            <w:tcW w:w="1142" w:type="pct"/>
            <w:vMerge/>
            <w:tcBorders>
              <w:top w:val="single" w:sz="4" w:space="0" w:color="auto"/>
              <w:left w:val="single" w:sz="4" w:space="0" w:color="auto"/>
              <w:bottom w:val="single" w:sz="4" w:space="0" w:color="auto"/>
              <w:right w:val="single" w:sz="4" w:space="0" w:color="auto"/>
            </w:tcBorders>
            <w:vAlign w:val="center"/>
            <w:hideMark/>
          </w:tcPr>
          <w:p w14:paraId="12149B21" w14:textId="77777777" w:rsidR="004C19E9" w:rsidRPr="004C19E9" w:rsidRDefault="004C19E9" w:rsidP="004C19E9">
            <w:pPr>
              <w:spacing w:after="0" w:line="240" w:lineRule="auto"/>
              <w:rPr>
                <w:rFonts w:ascii="Calibri" w:eastAsia="Times New Roman" w:hAnsi="Calibri" w:cs="Calibri"/>
                <w:b/>
                <w:bCs/>
                <w:color w:val="FFFFFF"/>
                <w:sz w:val="20"/>
                <w:szCs w:val="20"/>
                <w:lang w:val="en-US" w:eastAsia="en-US"/>
              </w:rPr>
            </w:pPr>
          </w:p>
        </w:tc>
        <w:tc>
          <w:tcPr>
            <w:tcW w:w="471" w:type="pct"/>
            <w:vMerge/>
            <w:tcBorders>
              <w:top w:val="single" w:sz="4" w:space="0" w:color="auto"/>
              <w:left w:val="single" w:sz="4" w:space="0" w:color="auto"/>
              <w:bottom w:val="single" w:sz="4" w:space="0" w:color="auto"/>
              <w:right w:val="single" w:sz="4" w:space="0" w:color="auto"/>
            </w:tcBorders>
            <w:vAlign w:val="center"/>
            <w:hideMark/>
          </w:tcPr>
          <w:p w14:paraId="3B8FE960" w14:textId="77777777" w:rsidR="004C19E9" w:rsidRPr="004C19E9" w:rsidRDefault="004C19E9" w:rsidP="004C19E9">
            <w:pPr>
              <w:spacing w:after="0" w:line="240" w:lineRule="auto"/>
              <w:rPr>
                <w:rFonts w:ascii="Calibri" w:eastAsia="Times New Roman" w:hAnsi="Calibri" w:cs="Calibri"/>
                <w:color w:val="FFFFFF"/>
                <w:sz w:val="20"/>
                <w:szCs w:val="20"/>
                <w:lang w:val="en-US" w:eastAsia="en-US"/>
              </w:rPr>
            </w:pPr>
          </w:p>
        </w:tc>
        <w:tc>
          <w:tcPr>
            <w:tcW w:w="1199" w:type="pct"/>
            <w:vMerge/>
            <w:tcBorders>
              <w:top w:val="single" w:sz="4" w:space="0" w:color="auto"/>
              <w:left w:val="single" w:sz="4" w:space="0" w:color="auto"/>
              <w:bottom w:val="single" w:sz="4" w:space="0" w:color="auto"/>
              <w:right w:val="single" w:sz="4" w:space="0" w:color="auto"/>
            </w:tcBorders>
            <w:vAlign w:val="center"/>
            <w:hideMark/>
          </w:tcPr>
          <w:p w14:paraId="1AF8DE0C" w14:textId="77777777" w:rsidR="004C19E9" w:rsidRPr="004C19E9" w:rsidRDefault="004C19E9" w:rsidP="004C19E9">
            <w:pPr>
              <w:spacing w:after="0" w:line="240" w:lineRule="auto"/>
              <w:rPr>
                <w:rFonts w:ascii="Calibri" w:eastAsia="Times New Roman" w:hAnsi="Calibri" w:cs="Calibri"/>
                <w:color w:val="FFFFFF"/>
                <w:sz w:val="20"/>
                <w:szCs w:val="20"/>
                <w:lang w:val="en-US" w:eastAsia="en-US"/>
              </w:rPr>
            </w:pPr>
          </w:p>
        </w:tc>
        <w:tc>
          <w:tcPr>
            <w:tcW w:w="733" w:type="pct"/>
            <w:gridSpan w:val="2"/>
            <w:vMerge/>
            <w:tcBorders>
              <w:top w:val="single" w:sz="4" w:space="0" w:color="auto"/>
              <w:left w:val="single" w:sz="4" w:space="0" w:color="auto"/>
              <w:bottom w:val="single" w:sz="4" w:space="0" w:color="auto"/>
              <w:right w:val="single" w:sz="4" w:space="0" w:color="auto"/>
            </w:tcBorders>
            <w:vAlign w:val="center"/>
            <w:hideMark/>
          </w:tcPr>
          <w:p w14:paraId="586B217D" w14:textId="77777777" w:rsidR="004C19E9" w:rsidRPr="004C19E9" w:rsidRDefault="004C19E9" w:rsidP="004C19E9">
            <w:pPr>
              <w:spacing w:after="0" w:line="240" w:lineRule="auto"/>
              <w:rPr>
                <w:rFonts w:ascii="Calibri" w:eastAsia="Times New Roman" w:hAnsi="Calibri" w:cs="Calibri"/>
                <w:color w:val="FFFFFF"/>
                <w:sz w:val="20"/>
                <w:szCs w:val="20"/>
                <w:lang w:val="en-US" w:eastAsia="en-US"/>
              </w:rPr>
            </w:pPr>
          </w:p>
        </w:tc>
        <w:tc>
          <w:tcPr>
            <w:tcW w:w="364" w:type="pct"/>
            <w:vMerge/>
            <w:tcBorders>
              <w:top w:val="single" w:sz="4" w:space="0" w:color="auto"/>
              <w:left w:val="single" w:sz="4" w:space="0" w:color="auto"/>
              <w:bottom w:val="single" w:sz="4" w:space="0" w:color="auto"/>
              <w:right w:val="single" w:sz="4" w:space="0" w:color="auto"/>
            </w:tcBorders>
            <w:vAlign w:val="center"/>
            <w:hideMark/>
          </w:tcPr>
          <w:p w14:paraId="20F09BEB" w14:textId="77777777" w:rsidR="004C19E9" w:rsidRPr="004C19E9" w:rsidRDefault="004C19E9" w:rsidP="004C19E9">
            <w:pPr>
              <w:spacing w:after="0" w:line="240" w:lineRule="auto"/>
              <w:rPr>
                <w:rFonts w:ascii="Calibri" w:eastAsia="Times New Roman" w:hAnsi="Calibri" w:cs="Calibri"/>
                <w:color w:val="FFFFFF"/>
                <w:sz w:val="20"/>
                <w:szCs w:val="20"/>
                <w:lang w:val="en-US" w:eastAsia="en-US"/>
              </w:rPr>
            </w:pPr>
          </w:p>
        </w:tc>
        <w:tc>
          <w:tcPr>
            <w:tcW w:w="300" w:type="pct"/>
            <w:vMerge/>
            <w:tcBorders>
              <w:top w:val="single" w:sz="4" w:space="0" w:color="auto"/>
              <w:left w:val="single" w:sz="4" w:space="0" w:color="auto"/>
              <w:bottom w:val="single" w:sz="4" w:space="0" w:color="auto"/>
              <w:right w:val="single" w:sz="4" w:space="0" w:color="auto"/>
            </w:tcBorders>
            <w:vAlign w:val="center"/>
            <w:hideMark/>
          </w:tcPr>
          <w:p w14:paraId="499A423D" w14:textId="77777777" w:rsidR="004C19E9" w:rsidRPr="004C19E9" w:rsidRDefault="004C19E9" w:rsidP="004C19E9">
            <w:pPr>
              <w:spacing w:after="0" w:line="240" w:lineRule="auto"/>
              <w:rPr>
                <w:rFonts w:ascii="Calibri" w:eastAsia="Times New Roman" w:hAnsi="Calibri" w:cs="Calibri"/>
                <w:color w:val="FFFFFF"/>
                <w:sz w:val="20"/>
                <w:szCs w:val="20"/>
                <w:lang w:val="en-US" w:eastAsia="en-US"/>
              </w:rPr>
            </w:pPr>
          </w:p>
        </w:tc>
        <w:tc>
          <w:tcPr>
            <w:tcW w:w="350" w:type="pct"/>
            <w:vMerge/>
            <w:tcBorders>
              <w:top w:val="single" w:sz="4" w:space="0" w:color="auto"/>
              <w:left w:val="single" w:sz="4" w:space="0" w:color="auto"/>
              <w:bottom w:val="single" w:sz="4" w:space="0" w:color="auto"/>
              <w:right w:val="single" w:sz="4" w:space="0" w:color="auto"/>
            </w:tcBorders>
            <w:vAlign w:val="center"/>
            <w:hideMark/>
          </w:tcPr>
          <w:p w14:paraId="3DEBFD05" w14:textId="77777777" w:rsidR="004C19E9" w:rsidRPr="004C19E9" w:rsidRDefault="004C19E9" w:rsidP="004C19E9">
            <w:pPr>
              <w:spacing w:after="0" w:line="240" w:lineRule="auto"/>
              <w:rPr>
                <w:rFonts w:ascii="Calibri" w:eastAsia="Times New Roman" w:hAnsi="Calibri" w:cs="Calibri"/>
                <w:color w:val="FFFFFF"/>
                <w:sz w:val="20"/>
                <w:szCs w:val="20"/>
                <w:lang w:val="en-US" w:eastAsia="en-US"/>
              </w:rPr>
            </w:pPr>
          </w:p>
        </w:tc>
        <w:tc>
          <w:tcPr>
            <w:tcW w:w="296" w:type="pct"/>
            <w:vMerge/>
            <w:tcBorders>
              <w:top w:val="single" w:sz="4" w:space="0" w:color="auto"/>
              <w:left w:val="single" w:sz="4" w:space="0" w:color="auto"/>
              <w:bottom w:val="single" w:sz="4" w:space="0" w:color="auto"/>
              <w:right w:val="single" w:sz="4" w:space="0" w:color="auto"/>
            </w:tcBorders>
            <w:vAlign w:val="center"/>
            <w:hideMark/>
          </w:tcPr>
          <w:p w14:paraId="21568102" w14:textId="77777777" w:rsidR="004C19E9" w:rsidRPr="004C19E9" w:rsidRDefault="004C19E9" w:rsidP="004C19E9">
            <w:pPr>
              <w:spacing w:after="0" w:line="240" w:lineRule="auto"/>
              <w:rPr>
                <w:rFonts w:ascii="Calibri" w:eastAsia="Times New Roman" w:hAnsi="Calibri" w:cs="Calibri"/>
                <w:color w:val="FFFFFF"/>
                <w:sz w:val="20"/>
                <w:szCs w:val="20"/>
                <w:lang w:val="en-US" w:eastAsia="en-US"/>
              </w:rPr>
            </w:pPr>
          </w:p>
        </w:tc>
      </w:tr>
      <w:tr w:rsidR="001166FA" w:rsidRPr="004C19E9" w14:paraId="28EA0806" w14:textId="77777777" w:rsidTr="001166FA">
        <w:trPr>
          <w:trHeight w:val="244"/>
          <w:tblHeader/>
        </w:trPr>
        <w:tc>
          <w:tcPr>
            <w:tcW w:w="145" w:type="pct"/>
            <w:vMerge/>
            <w:tcBorders>
              <w:top w:val="single" w:sz="4" w:space="0" w:color="auto"/>
              <w:left w:val="single" w:sz="4" w:space="0" w:color="auto"/>
              <w:bottom w:val="single" w:sz="4" w:space="0" w:color="auto"/>
              <w:right w:val="single" w:sz="4" w:space="0" w:color="auto"/>
            </w:tcBorders>
            <w:vAlign w:val="center"/>
            <w:hideMark/>
          </w:tcPr>
          <w:p w14:paraId="2A821130" w14:textId="77777777" w:rsidR="004C19E9" w:rsidRPr="004C19E9" w:rsidRDefault="004C19E9" w:rsidP="004C19E9">
            <w:pPr>
              <w:spacing w:after="0" w:line="240" w:lineRule="auto"/>
              <w:rPr>
                <w:rFonts w:ascii="Calibri" w:eastAsia="Times New Roman" w:hAnsi="Calibri" w:cs="Calibri"/>
                <w:b/>
                <w:bCs/>
                <w:color w:val="000000"/>
                <w:sz w:val="20"/>
                <w:szCs w:val="20"/>
                <w:lang w:val="en-US" w:eastAsia="en-US"/>
              </w:rPr>
            </w:pPr>
          </w:p>
        </w:tc>
        <w:tc>
          <w:tcPr>
            <w:tcW w:w="1142" w:type="pct"/>
            <w:vMerge/>
            <w:tcBorders>
              <w:top w:val="single" w:sz="4" w:space="0" w:color="auto"/>
              <w:left w:val="single" w:sz="4" w:space="0" w:color="auto"/>
              <w:bottom w:val="single" w:sz="4" w:space="0" w:color="auto"/>
              <w:right w:val="single" w:sz="4" w:space="0" w:color="auto"/>
            </w:tcBorders>
            <w:vAlign w:val="center"/>
            <w:hideMark/>
          </w:tcPr>
          <w:p w14:paraId="5ADA246B" w14:textId="77777777" w:rsidR="004C19E9" w:rsidRPr="004C19E9" w:rsidRDefault="004C19E9" w:rsidP="004C19E9">
            <w:pPr>
              <w:spacing w:after="0" w:line="240" w:lineRule="auto"/>
              <w:rPr>
                <w:rFonts w:ascii="Calibri" w:eastAsia="Times New Roman" w:hAnsi="Calibri" w:cs="Calibri"/>
                <w:b/>
                <w:bCs/>
                <w:color w:val="FFFFFF"/>
                <w:sz w:val="20"/>
                <w:szCs w:val="20"/>
                <w:lang w:val="en-US" w:eastAsia="en-US"/>
              </w:rPr>
            </w:pPr>
          </w:p>
        </w:tc>
        <w:tc>
          <w:tcPr>
            <w:tcW w:w="471" w:type="pct"/>
            <w:vMerge/>
            <w:tcBorders>
              <w:top w:val="single" w:sz="4" w:space="0" w:color="auto"/>
              <w:left w:val="single" w:sz="4" w:space="0" w:color="auto"/>
              <w:bottom w:val="single" w:sz="4" w:space="0" w:color="auto"/>
              <w:right w:val="single" w:sz="4" w:space="0" w:color="auto"/>
            </w:tcBorders>
            <w:vAlign w:val="center"/>
            <w:hideMark/>
          </w:tcPr>
          <w:p w14:paraId="7DB40FBC" w14:textId="77777777" w:rsidR="004C19E9" w:rsidRPr="004C19E9" w:rsidRDefault="004C19E9" w:rsidP="004C19E9">
            <w:pPr>
              <w:spacing w:after="0" w:line="240" w:lineRule="auto"/>
              <w:rPr>
                <w:rFonts w:ascii="Calibri" w:eastAsia="Times New Roman" w:hAnsi="Calibri" w:cs="Calibri"/>
                <w:color w:val="FFFFFF"/>
                <w:sz w:val="20"/>
                <w:szCs w:val="20"/>
                <w:lang w:val="en-US" w:eastAsia="en-US"/>
              </w:rPr>
            </w:pPr>
          </w:p>
        </w:tc>
        <w:tc>
          <w:tcPr>
            <w:tcW w:w="1199" w:type="pct"/>
            <w:vMerge/>
            <w:tcBorders>
              <w:top w:val="single" w:sz="4" w:space="0" w:color="auto"/>
              <w:left w:val="single" w:sz="4" w:space="0" w:color="auto"/>
              <w:bottom w:val="single" w:sz="4" w:space="0" w:color="auto"/>
              <w:right w:val="single" w:sz="4" w:space="0" w:color="auto"/>
            </w:tcBorders>
            <w:vAlign w:val="center"/>
            <w:hideMark/>
          </w:tcPr>
          <w:p w14:paraId="7FCC8A97" w14:textId="77777777" w:rsidR="004C19E9" w:rsidRPr="004C19E9" w:rsidRDefault="004C19E9" w:rsidP="004C19E9">
            <w:pPr>
              <w:spacing w:after="0" w:line="240" w:lineRule="auto"/>
              <w:rPr>
                <w:rFonts w:ascii="Calibri" w:eastAsia="Times New Roman" w:hAnsi="Calibri" w:cs="Calibri"/>
                <w:color w:val="FFFFFF"/>
                <w:sz w:val="20"/>
                <w:szCs w:val="20"/>
                <w:lang w:val="en-US" w:eastAsia="en-US"/>
              </w:rPr>
            </w:pPr>
          </w:p>
        </w:tc>
        <w:tc>
          <w:tcPr>
            <w:tcW w:w="733" w:type="pct"/>
            <w:gridSpan w:val="2"/>
            <w:vMerge/>
            <w:tcBorders>
              <w:top w:val="single" w:sz="4" w:space="0" w:color="auto"/>
              <w:left w:val="single" w:sz="4" w:space="0" w:color="auto"/>
              <w:bottom w:val="single" w:sz="4" w:space="0" w:color="auto"/>
              <w:right w:val="single" w:sz="4" w:space="0" w:color="auto"/>
            </w:tcBorders>
            <w:vAlign w:val="center"/>
            <w:hideMark/>
          </w:tcPr>
          <w:p w14:paraId="64EDC740" w14:textId="77777777" w:rsidR="004C19E9" w:rsidRPr="004C19E9" w:rsidRDefault="004C19E9" w:rsidP="004C19E9">
            <w:pPr>
              <w:spacing w:after="0" w:line="240" w:lineRule="auto"/>
              <w:rPr>
                <w:rFonts w:ascii="Calibri" w:eastAsia="Times New Roman" w:hAnsi="Calibri" w:cs="Calibri"/>
                <w:color w:val="FFFFFF"/>
                <w:sz w:val="20"/>
                <w:szCs w:val="20"/>
                <w:lang w:val="en-US" w:eastAsia="en-US"/>
              </w:rPr>
            </w:pPr>
          </w:p>
        </w:tc>
        <w:tc>
          <w:tcPr>
            <w:tcW w:w="364" w:type="pct"/>
            <w:vMerge/>
            <w:tcBorders>
              <w:top w:val="single" w:sz="4" w:space="0" w:color="auto"/>
              <w:left w:val="single" w:sz="4" w:space="0" w:color="auto"/>
              <w:bottom w:val="single" w:sz="4" w:space="0" w:color="auto"/>
              <w:right w:val="single" w:sz="4" w:space="0" w:color="auto"/>
            </w:tcBorders>
            <w:vAlign w:val="center"/>
            <w:hideMark/>
          </w:tcPr>
          <w:p w14:paraId="1101E0F5" w14:textId="77777777" w:rsidR="004C19E9" w:rsidRPr="004C19E9" w:rsidRDefault="004C19E9" w:rsidP="004C19E9">
            <w:pPr>
              <w:spacing w:after="0" w:line="240" w:lineRule="auto"/>
              <w:rPr>
                <w:rFonts w:ascii="Calibri" w:eastAsia="Times New Roman" w:hAnsi="Calibri" w:cs="Calibri"/>
                <w:color w:val="FFFFFF"/>
                <w:sz w:val="20"/>
                <w:szCs w:val="20"/>
                <w:lang w:val="en-US" w:eastAsia="en-US"/>
              </w:rPr>
            </w:pPr>
          </w:p>
        </w:tc>
        <w:tc>
          <w:tcPr>
            <w:tcW w:w="300" w:type="pct"/>
            <w:vMerge/>
            <w:tcBorders>
              <w:top w:val="single" w:sz="4" w:space="0" w:color="auto"/>
              <w:left w:val="single" w:sz="4" w:space="0" w:color="auto"/>
              <w:bottom w:val="single" w:sz="4" w:space="0" w:color="auto"/>
              <w:right w:val="single" w:sz="4" w:space="0" w:color="auto"/>
            </w:tcBorders>
            <w:vAlign w:val="center"/>
            <w:hideMark/>
          </w:tcPr>
          <w:p w14:paraId="101FD067" w14:textId="77777777" w:rsidR="004C19E9" w:rsidRPr="004C19E9" w:rsidRDefault="004C19E9" w:rsidP="004C19E9">
            <w:pPr>
              <w:spacing w:after="0" w:line="240" w:lineRule="auto"/>
              <w:rPr>
                <w:rFonts w:ascii="Calibri" w:eastAsia="Times New Roman" w:hAnsi="Calibri" w:cs="Calibri"/>
                <w:color w:val="FFFFFF"/>
                <w:sz w:val="20"/>
                <w:szCs w:val="20"/>
                <w:lang w:val="en-US" w:eastAsia="en-US"/>
              </w:rPr>
            </w:pPr>
          </w:p>
        </w:tc>
        <w:tc>
          <w:tcPr>
            <w:tcW w:w="350" w:type="pct"/>
            <w:vMerge/>
            <w:tcBorders>
              <w:top w:val="single" w:sz="4" w:space="0" w:color="auto"/>
              <w:left w:val="single" w:sz="4" w:space="0" w:color="auto"/>
              <w:bottom w:val="single" w:sz="4" w:space="0" w:color="auto"/>
              <w:right w:val="single" w:sz="4" w:space="0" w:color="auto"/>
            </w:tcBorders>
            <w:vAlign w:val="center"/>
            <w:hideMark/>
          </w:tcPr>
          <w:p w14:paraId="2F8AB824" w14:textId="77777777" w:rsidR="004C19E9" w:rsidRPr="004C19E9" w:rsidRDefault="004C19E9" w:rsidP="004C19E9">
            <w:pPr>
              <w:spacing w:after="0" w:line="240" w:lineRule="auto"/>
              <w:rPr>
                <w:rFonts w:ascii="Calibri" w:eastAsia="Times New Roman" w:hAnsi="Calibri" w:cs="Calibri"/>
                <w:color w:val="FFFFFF"/>
                <w:sz w:val="20"/>
                <w:szCs w:val="20"/>
                <w:lang w:val="en-US" w:eastAsia="en-US"/>
              </w:rPr>
            </w:pPr>
          </w:p>
        </w:tc>
        <w:tc>
          <w:tcPr>
            <w:tcW w:w="296" w:type="pct"/>
            <w:vMerge/>
            <w:tcBorders>
              <w:top w:val="single" w:sz="4" w:space="0" w:color="auto"/>
              <w:left w:val="single" w:sz="4" w:space="0" w:color="auto"/>
              <w:bottom w:val="single" w:sz="4" w:space="0" w:color="auto"/>
              <w:right w:val="single" w:sz="4" w:space="0" w:color="auto"/>
            </w:tcBorders>
            <w:vAlign w:val="center"/>
            <w:hideMark/>
          </w:tcPr>
          <w:p w14:paraId="77C703CF" w14:textId="77777777" w:rsidR="004C19E9" w:rsidRPr="004C19E9" w:rsidRDefault="004C19E9" w:rsidP="004C19E9">
            <w:pPr>
              <w:spacing w:after="0" w:line="240" w:lineRule="auto"/>
              <w:rPr>
                <w:rFonts w:ascii="Calibri" w:eastAsia="Times New Roman" w:hAnsi="Calibri" w:cs="Calibri"/>
                <w:color w:val="FFFFFF"/>
                <w:sz w:val="20"/>
                <w:szCs w:val="20"/>
                <w:lang w:val="en-US" w:eastAsia="en-US"/>
              </w:rPr>
            </w:pPr>
          </w:p>
        </w:tc>
      </w:tr>
      <w:tr w:rsidR="004C19E9" w:rsidRPr="004C19E9" w14:paraId="55A8425B" w14:textId="77777777" w:rsidTr="002A2174">
        <w:trPr>
          <w:trHeight w:val="300"/>
        </w:trPr>
        <w:tc>
          <w:tcPr>
            <w:tcW w:w="5000" w:type="pct"/>
            <w:gridSpan w:val="10"/>
            <w:tcBorders>
              <w:top w:val="single" w:sz="4" w:space="0" w:color="auto"/>
              <w:left w:val="single" w:sz="4" w:space="0" w:color="auto"/>
              <w:bottom w:val="single" w:sz="4" w:space="0" w:color="auto"/>
              <w:right w:val="single" w:sz="4" w:space="0" w:color="auto"/>
            </w:tcBorders>
            <w:shd w:val="clear" w:color="000000" w:fill="1F4E78"/>
            <w:noWrap/>
            <w:vAlign w:val="center"/>
            <w:hideMark/>
          </w:tcPr>
          <w:p w14:paraId="35429058" w14:textId="77777777" w:rsidR="004C19E9" w:rsidRPr="004C19E9" w:rsidRDefault="004C19E9" w:rsidP="004C19E9">
            <w:pPr>
              <w:spacing w:after="0" w:line="240" w:lineRule="auto"/>
              <w:rPr>
                <w:rFonts w:ascii="Calibri" w:eastAsia="Times New Roman" w:hAnsi="Calibri" w:cs="Calibri"/>
                <w:b/>
                <w:bCs/>
                <w:color w:val="FFFFFF"/>
                <w:sz w:val="20"/>
                <w:szCs w:val="20"/>
                <w:lang w:val="en-US" w:eastAsia="en-US"/>
              </w:rPr>
            </w:pPr>
            <w:r w:rsidRPr="004C19E9">
              <w:rPr>
                <w:rFonts w:ascii="Calibri" w:eastAsia="Times New Roman" w:hAnsi="Calibri" w:cs="Calibri"/>
                <w:b/>
                <w:bCs/>
                <w:color w:val="FFFFFF"/>
                <w:sz w:val="20"/>
                <w:szCs w:val="20"/>
                <w:lang w:val="en-US" w:eastAsia="en-US"/>
              </w:rPr>
              <w:t>Promotion</w:t>
            </w:r>
          </w:p>
        </w:tc>
      </w:tr>
      <w:tr w:rsidR="001166FA" w:rsidRPr="004C19E9" w14:paraId="185634B6" w14:textId="77777777" w:rsidTr="001166FA">
        <w:trPr>
          <w:trHeight w:val="600"/>
        </w:trPr>
        <w:tc>
          <w:tcPr>
            <w:tcW w:w="145"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3306745A" w14:textId="77777777" w:rsidR="004C19E9" w:rsidRPr="004C19E9" w:rsidRDefault="004C19E9" w:rsidP="004C19E9">
            <w:pPr>
              <w:spacing w:after="0" w:line="240" w:lineRule="auto"/>
              <w:jc w:val="center"/>
              <w:rPr>
                <w:rFonts w:ascii="Calibri" w:eastAsia="Times New Roman" w:hAnsi="Calibri" w:cs="Calibri"/>
                <w:b/>
                <w:bCs/>
                <w:color w:val="000000"/>
                <w:sz w:val="20"/>
                <w:szCs w:val="20"/>
                <w:lang w:val="en-US" w:eastAsia="en-US"/>
              </w:rPr>
            </w:pPr>
            <w:r w:rsidRPr="004C19E9">
              <w:rPr>
                <w:rFonts w:ascii="Calibri" w:eastAsia="Times New Roman" w:hAnsi="Calibri" w:cs="Calibri"/>
                <w:b/>
                <w:bCs/>
                <w:color w:val="000000"/>
                <w:sz w:val="20"/>
                <w:szCs w:val="20"/>
                <w:lang w:val="en-US" w:eastAsia="en-US"/>
              </w:rPr>
              <w:t>1</w:t>
            </w:r>
          </w:p>
        </w:tc>
        <w:tc>
          <w:tcPr>
            <w:tcW w:w="1142" w:type="pct"/>
            <w:vMerge w:val="restart"/>
            <w:tcBorders>
              <w:top w:val="nil"/>
              <w:left w:val="single" w:sz="4" w:space="0" w:color="auto"/>
              <w:bottom w:val="single" w:sz="4" w:space="0" w:color="auto"/>
              <w:right w:val="single" w:sz="4" w:space="0" w:color="auto"/>
            </w:tcBorders>
            <w:shd w:val="clear" w:color="000000" w:fill="FFFFFF"/>
            <w:vAlign w:val="center"/>
            <w:hideMark/>
          </w:tcPr>
          <w:p w14:paraId="19AA6BA0" w14:textId="77777777" w:rsidR="004C19E9" w:rsidRPr="004C19E9" w:rsidRDefault="004C19E9" w:rsidP="004C19E9">
            <w:pPr>
              <w:spacing w:after="0" w:line="240" w:lineRule="auto"/>
              <w:rPr>
                <w:rFonts w:ascii="Calibri" w:eastAsia="Times New Roman" w:hAnsi="Calibri" w:cs="Calibri"/>
                <w:sz w:val="20"/>
                <w:szCs w:val="20"/>
                <w:lang w:val="en-US" w:eastAsia="en-US"/>
              </w:rPr>
            </w:pPr>
            <w:r w:rsidRPr="004C19E9">
              <w:rPr>
                <w:rFonts w:ascii="Calibri" w:eastAsia="Times New Roman" w:hAnsi="Calibri" w:cs="Calibri"/>
                <w:sz w:val="20"/>
                <w:szCs w:val="20"/>
                <w:lang w:val="en-US" w:eastAsia="en-US"/>
              </w:rPr>
              <w:t xml:space="preserve">EC modern contraception – proxied using the fraction of women whose need for contraception is met with modern contraceptives. Met needs should not be age standardized.  </w:t>
            </w:r>
          </w:p>
        </w:tc>
        <w:tc>
          <w:tcPr>
            <w:tcW w:w="471" w:type="pct"/>
            <w:tcBorders>
              <w:top w:val="nil"/>
              <w:left w:val="nil"/>
              <w:bottom w:val="single" w:sz="4" w:space="0" w:color="auto"/>
              <w:right w:val="single" w:sz="4" w:space="0" w:color="auto"/>
            </w:tcBorders>
            <w:shd w:val="clear" w:color="000000" w:fill="FFFFFF"/>
            <w:noWrap/>
            <w:vAlign w:val="center"/>
            <w:hideMark/>
          </w:tcPr>
          <w:p w14:paraId="39EFA52E" w14:textId="77777777" w:rsidR="004C19E9" w:rsidRPr="004C19E9" w:rsidRDefault="004C19E9" w:rsidP="004C19E9">
            <w:pPr>
              <w:spacing w:after="0" w:line="240" w:lineRule="auto"/>
              <w:jc w:val="center"/>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Numerator</w:t>
            </w:r>
          </w:p>
        </w:tc>
        <w:tc>
          <w:tcPr>
            <w:tcW w:w="1199" w:type="pct"/>
            <w:tcBorders>
              <w:top w:val="nil"/>
              <w:left w:val="nil"/>
              <w:bottom w:val="single" w:sz="4" w:space="0" w:color="auto"/>
              <w:right w:val="single" w:sz="4" w:space="0" w:color="auto"/>
            </w:tcBorders>
            <w:shd w:val="clear" w:color="000000" w:fill="FFFFFF"/>
            <w:hideMark/>
          </w:tcPr>
          <w:p w14:paraId="39A09733"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number of women who are using modern methods of contraception</w:t>
            </w:r>
          </w:p>
        </w:tc>
        <w:tc>
          <w:tcPr>
            <w:tcW w:w="733" w:type="pct"/>
            <w:gridSpan w:val="2"/>
            <w:tcBorders>
              <w:top w:val="nil"/>
              <w:left w:val="nil"/>
              <w:bottom w:val="single" w:sz="4" w:space="0" w:color="auto"/>
              <w:right w:val="single" w:sz="4" w:space="0" w:color="auto"/>
            </w:tcBorders>
            <w:shd w:val="clear" w:color="000000" w:fill="FFFFFF"/>
            <w:hideMark/>
          </w:tcPr>
          <w:p w14:paraId="60D54FEC"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Population-based surveys</w:t>
            </w:r>
          </w:p>
        </w:tc>
        <w:tc>
          <w:tcPr>
            <w:tcW w:w="364" w:type="pct"/>
            <w:vMerge w:val="restart"/>
            <w:tcBorders>
              <w:top w:val="nil"/>
              <w:left w:val="single" w:sz="4" w:space="0" w:color="auto"/>
              <w:bottom w:val="single" w:sz="4" w:space="0" w:color="auto"/>
              <w:right w:val="single" w:sz="4" w:space="0" w:color="auto"/>
            </w:tcBorders>
            <w:shd w:val="clear" w:color="000000" w:fill="FFFFFF"/>
            <w:vAlign w:val="center"/>
            <w:hideMark/>
          </w:tcPr>
          <w:p w14:paraId="72680D1D" w14:textId="77777777" w:rsidR="004C19E9" w:rsidRPr="004C19E9" w:rsidRDefault="004C19E9" w:rsidP="004C19E9">
            <w:pPr>
              <w:spacing w:after="0" w:line="240" w:lineRule="auto"/>
              <w:jc w:val="center"/>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110</w:t>
            </w:r>
          </w:p>
        </w:tc>
        <w:tc>
          <w:tcPr>
            <w:tcW w:w="300" w:type="pct"/>
            <w:vMerge w:val="restart"/>
            <w:tcBorders>
              <w:top w:val="nil"/>
              <w:left w:val="single" w:sz="4" w:space="0" w:color="auto"/>
              <w:bottom w:val="single" w:sz="4" w:space="0" w:color="auto"/>
              <w:right w:val="single" w:sz="4" w:space="0" w:color="auto"/>
            </w:tcBorders>
            <w:shd w:val="clear" w:color="000000" w:fill="FFFFFF"/>
            <w:vAlign w:val="center"/>
            <w:hideMark/>
          </w:tcPr>
          <w:p w14:paraId="1CCBFF75" w14:textId="77777777" w:rsidR="004C19E9" w:rsidRPr="004C19E9" w:rsidRDefault="004C19E9" w:rsidP="004C19E9">
            <w:pPr>
              <w:spacing w:after="0" w:line="240" w:lineRule="auto"/>
              <w:jc w:val="center"/>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Yes</w:t>
            </w:r>
          </w:p>
        </w:tc>
        <w:tc>
          <w:tcPr>
            <w:tcW w:w="350" w:type="pct"/>
            <w:vMerge w:val="restart"/>
            <w:tcBorders>
              <w:top w:val="nil"/>
              <w:left w:val="single" w:sz="4" w:space="0" w:color="auto"/>
              <w:bottom w:val="single" w:sz="4" w:space="0" w:color="auto"/>
              <w:right w:val="single" w:sz="4" w:space="0" w:color="auto"/>
            </w:tcBorders>
            <w:shd w:val="clear" w:color="000000" w:fill="FFFFFF"/>
            <w:vAlign w:val="center"/>
            <w:hideMark/>
          </w:tcPr>
          <w:p w14:paraId="5913F0F6" w14:textId="77777777" w:rsidR="004C19E9" w:rsidRPr="004C19E9" w:rsidRDefault="004C19E9" w:rsidP="004C19E9">
            <w:pPr>
              <w:spacing w:after="0" w:line="240" w:lineRule="auto"/>
              <w:jc w:val="center"/>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Yes</w:t>
            </w:r>
          </w:p>
        </w:tc>
        <w:tc>
          <w:tcPr>
            <w:tcW w:w="296" w:type="pct"/>
            <w:vMerge w:val="restart"/>
            <w:tcBorders>
              <w:top w:val="nil"/>
              <w:left w:val="single" w:sz="4" w:space="0" w:color="auto"/>
              <w:bottom w:val="single" w:sz="4" w:space="0" w:color="auto"/>
              <w:right w:val="single" w:sz="4" w:space="0" w:color="auto"/>
            </w:tcBorders>
            <w:shd w:val="clear" w:color="000000" w:fill="FFFFFF"/>
            <w:vAlign w:val="center"/>
            <w:hideMark/>
          </w:tcPr>
          <w:p w14:paraId="6D0FF5D1" w14:textId="77777777" w:rsidR="004C19E9" w:rsidRPr="004C19E9" w:rsidRDefault="004C19E9" w:rsidP="004C19E9">
            <w:pPr>
              <w:spacing w:after="0" w:line="240" w:lineRule="auto"/>
              <w:jc w:val="center"/>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3.7.1</w:t>
            </w:r>
          </w:p>
        </w:tc>
      </w:tr>
      <w:tr w:rsidR="001166FA" w:rsidRPr="004C19E9" w14:paraId="2F0D1A82" w14:textId="77777777" w:rsidTr="001166FA">
        <w:trPr>
          <w:trHeight w:val="900"/>
        </w:trPr>
        <w:tc>
          <w:tcPr>
            <w:tcW w:w="145" w:type="pct"/>
            <w:vMerge/>
            <w:tcBorders>
              <w:top w:val="nil"/>
              <w:left w:val="single" w:sz="4" w:space="0" w:color="auto"/>
              <w:bottom w:val="single" w:sz="4" w:space="0" w:color="auto"/>
              <w:right w:val="single" w:sz="4" w:space="0" w:color="auto"/>
            </w:tcBorders>
            <w:vAlign w:val="center"/>
            <w:hideMark/>
          </w:tcPr>
          <w:p w14:paraId="3E30DF3E" w14:textId="77777777" w:rsidR="004C19E9" w:rsidRPr="004C19E9" w:rsidRDefault="004C19E9" w:rsidP="004C19E9">
            <w:pPr>
              <w:spacing w:after="0" w:line="240" w:lineRule="auto"/>
              <w:rPr>
                <w:rFonts w:ascii="Calibri" w:eastAsia="Times New Roman" w:hAnsi="Calibri" w:cs="Calibri"/>
                <w:b/>
                <w:bCs/>
                <w:color w:val="000000"/>
                <w:sz w:val="20"/>
                <w:szCs w:val="20"/>
                <w:lang w:val="en-US" w:eastAsia="en-US"/>
              </w:rPr>
            </w:pPr>
          </w:p>
        </w:tc>
        <w:tc>
          <w:tcPr>
            <w:tcW w:w="1142" w:type="pct"/>
            <w:vMerge/>
            <w:tcBorders>
              <w:top w:val="nil"/>
              <w:left w:val="single" w:sz="4" w:space="0" w:color="auto"/>
              <w:bottom w:val="single" w:sz="4" w:space="0" w:color="auto"/>
              <w:right w:val="single" w:sz="4" w:space="0" w:color="auto"/>
            </w:tcBorders>
            <w:vAlign w:val="center"/>
            <w:hideMark/>
          </w:tcPr>
          <w:p w14:paraId="73F11F0B" w14:textId="77777777" w:rsidR="004C19E9" w:rsidRPr="004C19E9" w:rsidRDefault="004C19E9" w:rsidP="004C19E9">
            <w:pPr>
              <w:spacing w:after="0" w:line="240" w:lineRule="auto"/>
              <w:rPr>
                <w:rFonts w:ascii="Calibri" w:eastAsia="Times New Roman" w:hAnsi="Calibri" w:cs="Calibri"/>
                <w:sz w:val="20"/>
                <w:szCs w:val="20"/>
                <w:lang w:val="en-US" w:eastAsia="en-US"/>
              </w:rPr>
            </w:pPr>
          </w:p>
        </w:tc>
        <w:tc>
          <w:tcPr>
            <w:tcW w:w="471" w:type="pct"/>
            <w:tcBorders>
              <w:top w:val="nil"/>
              <w:left w:val="nil"/>
              <w:bottom w:val="single" w:sz="4" w:space="0" w:color="auto"/>
              <w:right w:val="single" w:sz="4" w:space="0" w:color="auto"/>
            </w:tcBorders>
            <w:shd w:val="clear" w:color="000000" w:fill="FFFFFF"/>
            <w:noWrap/>
            <w:vAlign w:val="center"/>
            <w:hideMark/>
          </w:tcPr>
          <w:p w14:paraId="0440DAD1" w14:textId="77777777" w:rsidR="004C19E9" w:rsidRPr="004C19E9" w:rsidRDefault="004C19E9" w:rsidP="004C19E9">
            <w:pPr>
              <w:spacing w:after="0" w:line="240" w:lineRule="auto"/>
              <w:jc w:val="center"/>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Denominator</w:t>
            </w:r>
          </w:p>
        </w:tc>
        <w:tc>
          <w:tcPr>
            <w:tcW w:w="1199" w:type="pct"/>
            <w:tcBorders>
              <w:top w:val="nil"/>
              <w:left w:val="nil"/>
              <w:bottom w:val="single" w:sz="4" w:space="0" w:color="auto"/>
              <w:right w:val="single" w:sz="4" w:space="0" w:color="auto"/>
            </w:tcBorders>
            <w:shd w:val="clear" w:color="000000" w:fill="FFFFFF"/>
            <w:hideMark/>
          </w:tcPr>
          <w:p w14:paraId="4717341B"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 xml:space="preserve">number of women who want to use modern methods of contraception but are not + number of women who are on modern method of contraception </w:t>
            </w:r>
          </w:p>
        </w:tc>
        <w:tc>
          <w:tcPr>
            <w:tcW w:w="733" w:type="pct"/>
            <w:gridSpan w:val="2"/>
            <w:tcBorders>
              <w:top w:val="nil"/>
              <w:left w:val="nil"/>
              <w:bottom w:val="single" w:sz="4" w:space="0" w:color="auto"/>
              <w:right w:val="single" w:sz="4" w:space="0" w:color="auto"/>
            </w:tcBorders>
            <w:shd w:val="clear" w:color="000000" w:fill="FFFFFF"/>
            <w:hideMark/>
          </w:tcPr>
          <w:p w14:paraId="6036C1C7"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Population-based surveys</w:t>
            </w:r>
          </w:p>
        </w:tc>
        <w:tc>
          <w:tcPr>
            <w:tcW w:w="364" w:type="pct"/>
            <w:vMerge/>
            <w:tcBorders>
              <w:top w:val="nil"/>
              <w:left w:val="single" w:sz="4" w:space="0" w:color="auto"/>
              <w:bottom w:val="single" w:sz="4" w:space="0" w:color="auto"/>
              <w:right w:val="single" w:sz="4" w:space="0" w:color="auto"/>
            </w:tcBorders>
            <w:vAlign w:val="center"/>
            <w:hideMark/>
          </w:tcPr>
          <w:p w14:paraId="2FB4E48F"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p>
        </w:tc>
        <w:tc>
          <w:tcPr>
            <w:tcW w:w="300" w:type="pct"/>
            <w:vMerge/>
            <w:tcBorders>
              <w:top w:val="nil"/>
              <w:left w:val="single" w:sz="4" w:space="0" w:color="auto"/>
              <w:bottom w:val="single" w:sz="4" w:space="0" w:color="auto"/>
              <w:right w:val="single" w:sz="4" w:space="0" w:color="auto"/>
            </w:tcBorders>
            <w:vAlign w:val="center"/>
            <w:hideMark/>
          </w:tcPr>
          <w:p w14:paraId="49B0FFB1"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p>
        </w:tc>
        <w:tc>
          <w:tcPr>
            <w:tcW w:w="350" w:type="pct"/>
            <w:vMerge/>
            <w:tcBorders>
              <w:top w:val="nil"/>
              <w:left w:val="single" w:sz="4" w:space="0" w:color="auto"/>
              <w:bottom w:val="single" w:sz="4" w:space="0" w:color="auto"/>
              <w:right w:val="single" w:sz="4" w:space="0" w:color="auto"/>
            </w:tcBorders>
            <w:vAlign w:val="center"/>
            <w:hideMark/>
          </w:tcPr>
          <w:p w14:paraId="264DF68E"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p>
        </w:tc>
        <w:tc>
          <w:tcPr>
            <w:tcW w:w="296" w:type="pct"/>
            <w:vMerge/>
            <w:tcBorders>
              <w:top w:val="nil"/>
              <w:left w:val="single" w:sz="4" w:space="0" w:color="auto"/>
              <w:bottom w:val="single" w:sz="4" w:space="0" w:color="auto"/>
              <w:right w:val="single" w:sz="4" w:space="0" w:color="auto"/>
            </w:tcBorders>
            <w:vAlign w:val="center"/>
            <w:hideMark/>
          </w:tcPr>
          <w:p w14:paraId="17F8637B"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p>
        </w:tc>
      </w:tr>
      <w:tr w:rsidR="001166FA" w:rsidRPr="004C19E9" w14:paraId="18D8C9C4" w14:textId="77777777" w:rsidTr="001166FA">
        <w:trPr>
          <w:trHeight w:val="600"/>
        </w:trPr>
        <w:tc>
          <w:tcPr>
            <w:tcW w:w="145"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24BEC93E" w14:textId="77777777" w:rsidR="004C19E9" w:rsidRPr="004C19E9" w:rsidRDefault="004C19E9" w:rsidP="004C19E9">
            <w:pPr>
              <w:spacing w:after="0" w:line="240" w:lineRule="auto"/>
              <w:jc w:val="center"/>
              <w:rPr>
                <w:rFonts w:ascii="Calibri" w:eastAsia="Times New Roman" w:hAnsi="Calibri" w:cs="Calibri"/>
                <w:b/>
                <w:bCs/>
                <w:color w:val="000000"/>
                <w:sz w:val="20"/>
                <w:szCs w:val="20"/>
                <w:lang w:val="en-US" w:eastAsia="en-US"/>
              </w:rPr>
            </w:pPr>
            <w:r w:rsidRPr="004C19E9">
              <w:rPr>
                <w:rFonts w:ascii="Calibri" w:eastAsia="Times New Roman" w:hAnsi="Calibri" w:cs="Calibri"/>
                <w:b/>
                <w:bCs/>
                <w:color w:val="000000"/>
                <w:sz w:val="20"/>
                <w:szCs w:val="20"/>
                <w:lang w:val="en-US" w:eastAsia="en-US"/>
              </w:rPr>
              <w:t>2</w:t>
            </w:r>
          </w:p>
        </w:tc>
        <w:tc>
          <w:tcPr>
            <w:tcW w:w="1142" w:type="pct"/>
            <w:vMerge w:val="restart"/>
            <w:tcBorders>
              <w:top w:val="nil"/>
              <w:left w:val="single" w:sz="4" w:space="0" w:color="auto"/>
              <w:bottom w:val="single" w:sz="4" w:space="0" w:color="auto"/>
              <w:right w:val="single" w:sz="4" w:space="0" w:color="auto"/>
            </w:tcBorders>
            <w:shd w:val="clear" w:color="000000" w:fill="FFFFFF"/>
            <w:vAlign w:val="center"/>
            <w:hideMark/>
          </w:tcPr>
          <w:p w14:paraId="463B0519"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EC breastfeeding promotion – proxied using the fraction of newborns initiating breastfeeding within one hour of birth.</w:t>
            </w:r>
          </w:p>
        </w:tc>
        <w:tc>
          <w:tcPr>
            <w:tcW w:w="471" w:type="pct"/>
            <w:tcBorders>
              <w:top w:val="nil"/>
              <w:left w:val="nil"/>
              <w:bottom w:val="single" w:sz="4" w:space="0" w:color="auto"/>
              <w:right w:val="single" w:sz="4" w:space="0" w:color="auto"/>
            </w:tcBorders>
            <w:shd w:val="clear" w:color="000000" w:fill="FFFFFF"/>
            <w:noWrap/>
            <w:vAlign w:val="center"/>
            <w:hideMark/>
          </w:tcPr>
          <w:p w14:paraId="613F650D" w14:textId="77777777" w:rsidR="004C19E9" w:rsidRPr="004C19E9" w:rsidRDefault="004C19E9" w:rsidP="004C19E9">
            <w:pPr>
              <w:spacing w:after="0" w:line="240" w:lineRule="auto"/>
              <w:jc w:val="center"/>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Numerator</w:t>
            </w:r>
          </w:p>
        </w:tc>
        <w:tc>
          <w:tcPr>
            <w:tcW w:w="1199" w:type="pct"/>
            <w:tcBorders>
              <w:top w:val="nil"/>
              <w:left w:val="nil"/>
              <w:bottom w:val="single" w:sz="4" w:space="0" w:color="auto"/>
              <w:right w:val="single" w:sz="4" w:space="0" w:color="auto"/>
            </w:tcBorders>
            <w:shd w:val="clear" w:color="000000" w:fill="FFFFFF"/>
            <w:hideMark/>
          </w:tcPr>
          <w:p w14:paraId="58147CD0"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number of newborns initiating breastfeeding within one hour of birth</w:t>
            </w:r>
          </w:p>
        </w:tc>
        <w:tc>
          <w:tcPr>
            <w:tcW w:w="733" w:type="pct"/>
            <w:gridSpan w:val="2"/>
            <w:tcBorders>
              <w:top w:val="nil"/>
              <w:left w:val="nil"/>
              <w:bottom w:val="single" w:sz="4" w:space="0" w:color="auto"/>
              <w:right w:val="single" w:sz="4" w:space="0" w:color="auto"/>
            </w:tcBorders>
            <w:shd w:val="clear" w:color="000000" w:fill="FFFFFF"/>
            <w:hideMark/>
          </w:tcPr>
          <w:p w14:paraId="25051048"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Population-based surveys</w:t>
            </w:r>
          </w:p>
        </w:tc>
        <w:tc>
          <w:tcPr>
            <w:tcW w:w="364" w:type="pct"/>
            <w:vMerge w:val="restart"/>
            <w:tcBorders>
              <w:top w:val="nil"/>
              <w:left w:val="single" w:sz="4" w:space="0" w:color="auto"/>
              <w:bottom w:val="single" w:sz="4" w:space="0" w:color="auto"/>
              <w:right w:val="single" w:sz="4" w:space="0" w:color="auto"/>
            </w:tcBorders>
            <w:shd w:val="clear" w:color="000000" w:fill="FFFFFF"/>
            <w:vAlign w:val="center"/>
            <w:hideMark/>
          </w:tcPr>
          <w:p w14:paraId="4E4E5007" w14:textId="32544E63" w:rsidR="004C19E9" w:rsidRPr="004C19E9" w:rsidRDefault="004C19E9" w:rsidP="004C19E9">
            <w:pPr>
              <w:spacing w:after="0" w:line="240" w:lineRule="auto"/>
              <w:jc w:val="center"/>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1</w:t>
            </w:r>
            <w:r w:rsidR="00ED47FA">
              <w:rPr>
                <w:rFonts w:ascii="Calibri" w:eastAsia="Times New Roman" w:hAnsi="Calibri" w:cs="Calibri"/>
                <w:color w:val="000000"/>
                <w:sz w:val="20"/>
                <w:szCs w:val="20"/>
                <w:lang w:val="en-US" w:eastAsia="en-US"/>
              </w:rPr>
              <w:t>08</w:t>
            </w:r>
          </w:p>
        </w:tc>
        <w:tc>
          <w:tcPr>
            <w:tcW w:w="300" w:type="pct"/>
            <w:vMerge w:val="restart"/>
            <w:tcBorders>
              <w:top w:val="nil"/>
              <w:left w:val="single" w:sz="4" w:space="0" w:color="auto"/>
              <w:bottom w:val="single" w:sz="4" w:space="0" w:color="auto"/>
              <w:right w:val="single" w:sz="4" w:space="0" w:color="auto"/>
            </w:tcBorders>
            <w:shd w:val="clear" w:color="000000" w:fill="FFFFFF"/>
            <w:vAlign w:val="center"/>
            <w:hideMark/>
          </w:tcPr>
          <w:p w14:paraId="2D610D63" w14:textId="77777777" w:rsidR="004C19E9" w:rsidRPr="004C19E9" w:rsidRDefault="004C19E9" w:rsidP="004C19E9">
            <w:pPr>
              <w:spacing w:after="0" w:line="240" w:lineRule="auto"/>
              <w:jc w:val="center"/>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Yes</w:t>
            </w:r>
          </w:p>
        </w:tc>
        <w:tc>
          <w:tcPr>
            <w:tcW w:w="350" w:type="pct"/>
            <w:vMerge w:val="restart"/>
            <w:tcBorders>
              <w:top w:val="nil"/>
              <w:left w:val="single" w:sz="4" w:space="0" w:color="auto"/>
              <w:bottom w:val="single" w:sz="4" w:space="0" w:color="auto"/>
              <w:right w:val="single" w:sz="4" w:space="0" w:color="auto"/>
            </w:tcBorders>
            <w:shd w:val="clear" w:color="000000" w:fill="FFFFFF"/>
            <w:vAlign w:val="center"/>
            <w:hideMark/>
          </w:tcPr>
          <w:p w14:paraId="7F4B5791" w14:textId="77777777" w:rsidR="004C19E9" w:rsidRPr="004C19E9" w:rsidRDefault="004C19E9" w:rsidP="004C19E9">
            <w:pPr>
              <w:spacing w:after="0" w:line="240" w:lineRule="auto"/>
              <w:jc w:val="center"/>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Yes</w:t>
            </w:r>
          </w:p>
        </w:tc>
        <w:tc>
          <w:tcPr>
            <w:tcW w:w="296" w:type="pct"/>
            <w:vMerge w:val="restart"/>
            <w:tcBorders>
              <w:top w:val="nil"/>
              <w:left w:val="single" w:sz="4" w:space="0" w:color="auto"/>
              <w:bottom w:val="single" w:sz="4" w:space="0" w:color="auto"/>
              <w:right w:val="single" w:sz="4" w:space="0" w:color="auto"/>
            </w:tcBorders>
            <w:shd w:val="clear" w:color="000000" w:fill="FFFFFF"/>
            <w:vAlign w:val="center"/>
            <w:hideMark/>
          </w:tcPr>
          <w:p w14:paraId="086B5642" w14:textId="77777777" w:rsidR="004C19E9" w:rsidRPr="004C19E9" w:rsidRDefault="004C19E9" w:rsidP="004C19E9">
            <w:pPr>
              <w:spacing w:after="0" w:line="240" w:lineRule="auto"/>
              <w:jc w:val="center"/>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 </w:t>
            </w:r>
          </w:p>
        </w:tc>
      </w:tr>
      <w:tr w:rsidR="001166FA" w:rsidRPr="004C19E9" w14:paraId="25C5B69C" w14:textId="77777777" w:rsidTr="001166FA">
        <w:trPr>
          <w:trHeight w:val="645"/>
        </w:trPr>
        <w:tc>
          <w:tcPr>
            <w:tcW w:w="145" w:type="pct"/>
            <w:vMerge/>
            <w:tcBorders>
              <w:top w:val="nil"/>
              <w:left w:val="single" w:sz="4" w:space="0" w:color="auto"/>
              <w:bottom w:val="single" w:sz="4" w:space="0" w:color="auto"/>
              <w:right w:val="single" w:sz="4" w:space="0" w:color="auto"/>
            </w:tcBorders>
            <w:vAlign w:val="center"/>
            <w:hideMark/>
          </w:tcPr>
          <w:p w14:paraId="4FC128FD" w14:textId="77777777" w:rsidR="004C19E9" w:rsidRPr="004C19E9" w:rsidRDefault="004C19E9" w:rsidP="004C19E9">
            <w:pPr>
              <w:spacing w:after="0" w:line="240" w:lineRule="auto"/>
              <w:rPr>
                <w:rFonts w:ascii="Calibri" w:eastAsia="Times New Roman" w:hAnsi="Calibri" w:cs="Calibri"/>
                <w:b/>
                <w:bCs/>
                <w:color w:val="000000"/>
                <w:sz w:val="20"/>
                <w:szCs w:val="20"/>
                <w:lang w:val="en-US" w:eastAsia="en-US"/>
              </w:rPr>
            </w:pPr>
          </w:p>
        </w:tc>
        <w:tc>
          <w:tcPr>
            <w:tcW w:w="1142" w:type="pct"/>
            <w:vMerge/>
            <w:tcBorders>
              <w:top w:val="nil"/>
              <w:left w:val="single" w:sz="4" w:space="0" w:color="auto"/>
              <w:bottom w:val="single" w:sz="4" w:space="0" w:color="auto"/>
              <w:right w:val="single" w:sz="4" w:space="0" w:color="auto"/>
            </w:tcBorders>
            <w:vAlign w:val="center"/>
            <w:hideMark/>
          </w:tcPr>
          <w:p w14:paraId="404E4202"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p>
        </w:tc>
        <w:tc>
          <w:tcPr>
            <w:tcW w:w="471" w:type="pct"/>
            <w:tcBorders>
              <w:top w:val="nil"/>
              <w:left w:val="nil"/>
              <w:bottom w:val="single" w:sz="4" w:space="0" w:color="auto"/>
              <w:right w:val="single" w:sz="4" w:space="0" w:color="auto"/>
            </w:tcBorders>
            <w:shd w:val="clear" w:color="000000" w:fill="FFFFFF"/>
            <w:noWrap/>
            <w:vAlign w:val="center"/>
            <w:hideMark/>
          </w:tcPr>
          <w:p w14:paraId="1547273D" w14:textId="77777777" w:rsidR="004C19E9" w:rsidRPr="004C19E9" w:rsidRDefault="004C19E9" w:rsidP="004C19E9">
            <w:pPr>
              <w:spacing w:after="0" w:line="240" w:lineRule="auto"/>
              <w:jc w:val="center"/>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Denominator</w:t>
            </w:r>
          </w:p>
        </w:tc>
        <w:tc>
          <w:tcPr>
            <w:tcW w:w="1199" w:type="pct"/>
            <w:tcBorders>
              <w:top w:val="nil"/>
              <w:left w:val="nil"/>
              <w:bottom w:val="single" w:sz="4" w:space="0" w:color="auto"/>
              <w:right w:val="single" w:sz="4" w:space="0" w:color="auto"/>
            </w:tcBorders>
            <w:shd w:val="clear" w:color="000000" w:fill="FFFFFF"/>
            <w:hideMark/>
          </w:tcPr>
          <w:p w14:paraId="65B900D6"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number of live births</w:t>
            </w:r>
          </w:p>
        </w:tc>
        <w:tc>
          <w:tcPr>
            <w:tcW w:w="733" w:type="pct"/>
            <w:gridSpan w:val="2"/>
            <w:tcBorders>
              <w:top w:val="nil"/>
              <w:left w:val="nil"/>
              <w:bottom w:val="single" w:sz="4" w:space="0" w:color="auto"/>
              <w:right w:val="single" w:sz="4" w:space="0" w:color="auto"/>
            </w:tcBorders>
            <w:shd w:val="clear" w:color="000000" w:fill="FFFFFF"/>
            <w:hideMark/>
          </w:tcPr>
          <w:p w14:paraId="0561FBFF"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CRVS, Population-based surveys</w:t>
            </w:r>
          </w:p>
        </w:tc>
        <w:tc>
          <w:tcPr>
            <w:tcW w:w="364" w:type="pct"/>
            <w:vMerge/>
            <w:tcBorders>
              <w:top w:val="nil"/>
              <w:left w:val="single" w:sz="4" w:space="0" w:color="auto"/>
              <w:bottom w:val="single" w:sz="4" w:space="0" w:color="auto"/>
              <w:right w:val="single" w:sz="4" w:space="0" w:color="auto"/>
            </w:tcBorders>
            <w:vAlign w:val="center"/>
            <w:hideMark/>
          </w:tcPr>
          <w:p w14:paraId="1B0D087B"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p>
        </w:tc>
        <w:tc>
          <w:tcPr>
            <w:tcW w:w="300" w:type="pct"/>
            <w:vMerge/>
            <w:tcBorders>
              <w:top w:val="nil"/>
              <w:left w:val="single" w:sz="4" w:space="0" w:color="auto"/>
              <w:bottom w:val="single" w:sz="4" w:space="0" w:color="auto"/>
              <w:right w:val="single" w:sz="4" w:space="0" w:color="auto"/>
            </w:tcBorders>
            <w:vAlign w:val="center"/>
            <w:hideMark/>
          </w:tcPr>
          <w:p w14:paraId="5E0B1BEA"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p>
        </w:tc>
        <w:tc>
          <w:tcPr>
            <w:tcW w:w="350" w:type="pct"/>
            <w:vMerge/>
            <w:tcBorders>
              <w:top w:val="nil"/>
              <w:left w:val="single" w:sz="4" w:space="0" w:color="auto"/>
              <w:bottom w:val="single" w:sz="4" w:space="0" w:color="auto"/>
              <w:right w:val="single" w:sz="4" w:space="0" w:color="auto"/>
            </w:tcBorders>
            <w:vAlign w:val="center"/>
            <w:hideMark/>
          </w:tcPr>
          <w:p w14:paraId="6B3AD9EA"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p>
        </w:tc>
        <w:tc>
          <w:tcPr>
            <w:tcW w:w="296" w:type="pct"/>
            <w:vMerge/>
            <w:tcBorders>
              <w:top w:val="nil"/>
              <w:left w:val="single" w:sz="4" w:space="0" w:color="auto"/>
              <w:bottom w:val="single" w:sz="4" w:space="0" w:color="auto"/>
              <w:right w:val="single" w:sz="4" w:space="0" w:color="auto"/>
            </w:tcBorders>
            <w:vAlign w:val="center"/>
            <w:hideMark/>
          </w:tcPr>
          <w:p w14:paraId="4BC6D427"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p>
        </w:tc>
      </w:tr>
      <w:tr w:rsidR="004C19E9" w:rsidRPr="004C19E9" w14:paraId="3D213D92" w14:textId="77777777" w:rsidTr="002A2174">
        <w:trPr>
          <w:trHeight w:val="300"/>
        </w:trPr>
        <w:tc>
          <w:tcPr>
            <w:tcW w:w="5000" w:type="pct"/>
            <w:gridSpan w:val="10"/>
            <w:tcBorders>
              <w:top w:val="single" w:sz="4" w:space="0" w:color="auto"/>
              <w:left w:val="single" w:sz="4" w:space="0" w:color="auto"/>
              <w:bottom w:val="single" w:sz="4" w:space="0" w:color="auto"/>
              <w:right w:val="single" w:sz="4" w:space="0" w:color="auto"/>
            </w:tcBorders>
            <w:shd w:val="clear" w:color="000000" w:fill="1F4E78"/>
            <w:noWrap/>
            <w:vAlign w:val="center"/>
            <w:hideMark/>
          </w:tcPr>
          <w:p w14:paraId="2CFB3B5E" w14:textId="77777777" w:rsidR="004C19E9" w:rsidRPr="004C19E9" w:rsidRDefault="004C19E9" w:rsidP="004C19E9">
            <w:pPr>
              <w:spacing w:after="0" w:line="240" w:lineRule="auto"/>
              <w:rPr>
                <w:rFonts w:ascii="Calibri" w:eastAsia="Times New Roman" w:hAnsi="Calibri" w:cs="Calibri"/>
                <w:b/>
                <w:bCs/>
                <w:color w:val="FFFFFF"/>
                <w:sz w:val="20"/>
                <w:szCs w:val="20"/>
                <w:lang w:val="en-US" w:eastAsia="en-US"/>
              </w:rPr>
            </w:pPr>
            <w:r w:rsidRPr="004C19E9">
              <w:rPr>
                <w:rFonts w:ascii="Calibri" w:eastAsia="Times New Roman" w:hAnsi="Calibri" w:cs="Calibri"/>
                <w:b/>
                <w:bCs/>
                <w:color w:val="FFFFFF"/>
                <w:sz w:val="20"/>
                <w:szCs w:val="20"/>
                <w:lang w:val="en-US" w:eastAsia="en-US"/>
              </w:rPr>
              <w:t>Prevention</w:t>
            </w:r>
          </w:p>
        </w:tc>
      </w:tr>
      <w:tr w:rsidR="001166FA" w:rsidRPr="004C19E9" w14:paraId="0F01E5B2" w14:textId="77777777" w:rsidTr="001166FA">
        <w:trPr>
          <w:trHeight w:val="986"/>
        </w:trPr>
        <w:tc>
          <w:tcPr>
            <w:tcW w:w="145"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3F43DB43" w14:textId="77777777" w:rsidR="004C19E9" w:rsidRPr="004C19E9" w:rsidRDefault="004C19E9" w:rsidP="004C19E9">
            <w:pPr>
              <w:spacing w:after="0" w:line="240" w:lineRule="auto"/>
              <w:jc w:val="center"/>
              <w:rPr>
                <w:rFonts w:ascii="Calibri" w:eastAsia="Times New Roman" w:hAnsi="Calibri" w:cs="Calibri"/>
                <w:b/>
                <w:bCs/>
                <w:color w:val="000000"/>
                <w:sz w:val="20"/>
                <w:szCs w:val="20"/>
                <w:lang w:val="en-US" w:eastAsia="en-US"/>
              </w:rPr>
            </w:pPr>
            <w:r w:rsidRPr="004C19E9">
              <w:rPr>
                <w:rFonts w:ascii="Calibri" w:eastAsia="Times New Roman" w:hAnsi="Calibri" w:cs="Calibri"/>
                <w:b/>
                <w:bCs/>
                <w:color w:val="000000"/>
                <w:sz w:val="20"/>
                <w:szCs w:val="20"/>
                <w:lang w:val="en-US" w:eastAsia="en-US"/>
              </w:rPr>
              <w:t>3</w:t>
            </w:r>
          </w:p>
        </w:tc>
        <w:tc>
          <w:tcPr>
            <w:tcW w:w="1142" w:type="pct"/>
            <w:vMerge w:val="restart"/>
            <w:tcBorders>
              <w:top w:val="nil"/>
              <w:left w:val="single" w:sz="4" w:space="0" w:color="auto"/>
              <w:bottom w:val="single" w:sz="4" w:space="0" w:color="auto"/>
              <w:right w:val="single" w:sz="4" w:space="0" w:color="auto"/>
            </w:tcBorders>
            <w:shd w:val="clear" w:color="000000" w:fill="FFFFFF"/>
            <w:vAlign w:val="center"/>
            <w:hideMark/>
          </w:tcPr>
          <w:p w14:paraId="293F6F49" w14:textId="0D83A8FA" w:rsidR="004C19E9" w:rsidRPr="004C19E9" w:rsidRDefault="004C19E9" w:rsidP="004C19E9">
            <w:pPr>
              <w:spacing w:after="0" w:line="240" w:lineRule="auto"/>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EC immunization – proxied using estimated proportion of children protected against dip</w:t>
            </w:r>
            <w:r w:rsidR="00DC7969">
              <w:rPr>
                <w:rFonts w:ascii="Calibri" w:eastAsia="Times New Roman" w:hAnsi="Calibri" w:cs="Calibri"/>
                <w:color w:val="000000"/>
                <w:sz w:val="20"/>
                <w:szCs w:val="20"/>
                <w:lang w:val="en-US" w:eastAsia="en-US"/>
              </w:rPr>
              <w:t>h</w:t>
            </w:r>
            <w:r w:rsidRPr="004C19E9">
              <w:rPr>
                <w:rFonts w:ascii="Calibri" w:eastAsia="Times New Roman" w:hAnsi="Calibri" w:cs="Calibri"/>
                <w:color w:val="000000"/>
                <w:sz w:val="20"/>
                <w:szCs w:val="20"/>
                <w:lang w:val="en-US" w:eastAsia="en-US"/>
              </w:rPr>
              <w:t>theria, pertussis, tetanus, measles, Streptococcus pneumoniae.  Protection includes protection through herd immunity.  In the absence of wider use of blood testing for relevant antibodies, this is approximated using vaccination coverage.</w:t>
            </w:r>
          </w:p>
        </w:tc>
        <w:tc>
          <w:tcPr>
            <w:tcW w:w="471" w:type="pct"/>
            <w:tcBorders>
              <w:top w:val="nil"/>
              <w:left w:val="nil"/>
              <w:bottom w:val="single" w:sz="4" w:space="0" w:color="auto"/>
              <w:right w:val="single" w:sz="4" w:space="0" w:color="auto"/>
            </w:tcBorders>
            <w:shd w:val="clear" w:color="000000" w:fill="FFFFFF"/>
            <w:noWrap/>
            <w:vAlign w:val="center"/>
            <w:hideMark/>
          </w:tcPr>
          <w:p w14:paraId="019D041D" w14:textId="77777777" w:rsidR="004C19E9" w:rsidRPr="004C19E9" w:rsidRDefault="004C19E9" w:rsidP="004C19E9">
            <w:pPr>
              <w:spacing w:after="0" w:line="240" w:lineRule="auto"/>
              <w:jc w:val="center"/>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Numerator</w:t>
            </w:r>
          </w:p>
        </w:tc>
        <w:tc>
          <w:tcPr>
            <w:tcW w:w="1199" w:type="pct"/>
            <w:tcBorders>
              <w:top w:val="nil"/>
              <w:left w:val="nil"/>
              <w:bottom w:val="single" w:sz="4" w:space="0" w:color="auto"/>
              <w:right w:val="single" w:sz="4" w:space="0" w:color="auto"/>
            </w:tcBorders>
            <w:shd w:val="clear" w:color="000000" w:fill="FFFFFF"/>
            <w:hideMark/>
          </w:tcPr>
          <w:p w14:paraId="7FB36FAC"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number of children receiving each immunization</w:t>
            </w:r>
          </w:p>
        </w:tc>
        <w:tc>
          <w:tcPr>
            <w:tcW w:w="733" w:type="pct"/>
            <w:gridSpan w:val="2"/>
            <w:tcBorders>
              <w:top w:val="nil"/>
              <w:left w:val="nil"/>
              <w:bottom w:val="single" w:sz="4" w:space="0" w:color="auto"/>
              <w:right w:val="single" w:sz="4" w:space="0" w:color="auto"/>
            </w:tcBorders>
            <w:shd w:val="clear" w:color="000000" w:fill="FFFFFF"/>
            <w:hideMark/>
          </w:tcPr>
          <w:p w14:paraId="21D020F5"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Population-based surveys, Facility records</w:t>
            </w:r>
          </w:p>
        </w:tc>
        <w:tc>
          <w:tcPr>
            <w:tcW w:w="364" w:type="pct"/>
            <w:vMerge w:val="restart"/>
            <w:tcBorders>
              <w:top w:val="nil"/>
              <w:left w:val="single" w:sz="4" w:space="0" w:color="auto"/>
              <w:bottom w:val="single" w:sz="4" w:space="0" w:color="auto"/>
              <w:right w:val="single" w:sz="4" w:space="0" w:color="auto"/>
            </w:tcBorders>
            <w:shd w:val="clear" w:color="000000" w:fill="FFFFFF"/>
            <w:vAlign w:val="center"/>
            <w:hideMark/>
          </w:tcPr>
          <w:p w14:paraId="488D259A" w14:textId="1C898787" w:rsidR="004C19E9" w:rsidRPr="004C19E9" w:rsidRDefault="004C19E9" w:rsidP="004C19E9">
            <w:pPr>
              <w:spacing w:after="0" w:line="240" w:lineRule="auto"/>
              <w:jc w:val="center"/>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DTP3: 19</w:t>
            </w:r>
            <w:r w:rsidR="00BD691D">
              <w:rPr>
                <w:rFonts w:ascii="Calibri" w:eastAsia="Times New Roman" w:hAnsi="Calibri" w:cs="Calibri"/>
                <w:color w:val="000000"/>
                <w:sz w:val="20"/>
                <w:szCs w:val="20"/>
                <w:lang w:val="en-US" w:eastAsia="en-US"/>
              </w:rPr>
              <w:t>4</w:t>
            </w:r>
            <w:r w:rsidRPr="004C19E9">
              <w:rPr>
                <w:rFonts w:ascii="Calibri" w:eastAsia="Times New Roman" w:hAnsi="Calibri" w:cs="Calibri"/>
                <w:color w:val="000000"/>
                <w:sz w:val="20"/>
                <w:szCs w:val="20"/>
                <w:lang w:val="en-US" w:eastAsia="en-US"/>
              </w:rPr>
              <w:br/>
              <w:t>MCV2: 16</w:t>
            </w:r>
            <w:r w:rsidR="00BD691D">
              <w:rPr>
                <w:rFonts w:ascii="Calibri" w:eastAsia="Times New Roman" w:hAnsi="Calibri" w:cs="Calibri"/>
                <w:color w:val="000000"/>
                <w:sz w:val="20"/>
                <w:szCs w:val="20"/>
                <w:lang w:val="en-US" w:eastAsia="en-US"/>
              </w:rPr>
              <w:t>4</w:t>
            </w:r>
            <w:r w:rsidRPr="004C19E9">
              <w:rPr>
                <w:rFonts w:ascii="Calibri" w:eastAsia="Times New Roman" w:hAnsi="Calibri" w:cs="Calibri"/>
                <w:color w:val="000000"/>
                <w:sz w:val="20"/>
                <w:szCs w:val="20"/>
                <w:lang w:val="en-US" w:eastAsia="en-US"/>
              </w:rPr>
              <w:br/>
              <w:t>PCV3: 13</w:t>
            </w:r>
            <w:r w:rsidR="00BD691D">
              <w:rPr>
                <w:rFonts w:ascii="Calibri" w:eastAsia="Times New Roman" w:hAnsi="Calibri" w:cs="Calibri"/>
                <w:color w:val="000000"/>
                <w:sz w:val="20"/>
                <w:szCs w:val="20"/>
                <w:lang w:val="en-US" w:eastAsia="en-US"/>
              </w:rPr>
              <w:t>4</w:t>
            </w:r>
          </w:p>
        </w:tc>
        <w:tc>
          <w:tcPr>
            <w:tcW w:w="300" w:type="pct"/>
            <w:vMerge w:val="restart"/>
            <w:tcBorders>
              <w:top w:val="nil"/>
              <w:left w:val="single" w:sz="4" w:space="0" w:color="auto"/>
              <w:bottom w:val="single" w:sz="4" w:space="0" w:color="auto"/>
              <w:right w:val="single" w:sz="4" w:space="0" w:color="auto"/>
            </w:tcBorders>
            <w:shd w:val="clear" w:color="000000" w:fill="FFFFFF"/>
            <w:vAlign w:val="center"/>
            <w:hideMark/>
          </w:tcPr>
          <w:p w14:paraId="69E8738A" w14:textId="77777777" w:rsidR="004C19E9" w:rsidRPr="004C19E9" w:rsidRDefault="004C19E9" w:rsidP="004C19E9">
            <w:pPr>
              <w:spacing w:after="0" w:line="240" w:lineRule="auto"/>
              <w:jc w:val="center"/>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Yes</w:t>
            </w:r>
          </w:p>
        </w:tc>
        <w:tc>
          <w:tcPr>
            <w:tcW w:w="350" w:type="pct"/>
            <w:vMerge w:val="restart"/>
            <w:tcBorders>
              <w:top w:val="nil"/>
              <w:left w:val="single" w:sz="4" w:space="0" w:color="auto"/>
              <w:bottom w:val="single" w:sz="4" w:space="0" w:color="auto"/>
              <w:right w:val="single" w:sz="4" w:space="0" w:color="auto"/>
            </w:tcBorders>
            <w:shd w:val="clear" w:color="000000" w:fill="FFFFFF"/>
            <w:vAlign w:val="center"/>
            <w:hideMark/>
          </w:tcPr>
          <w:p w14:paraId="15A552DF" w14:textId="77777777" w:rsidR="004C19E9" w:rsidRPr="004C19E9" w:rsidRDefault="004C19E9" w:rsidP="004C19E9">
            <w:pPr>
              <w:spacing w:after="0" w:line="240" w:lineRule="auto"/>
              <w:jc w:val="center"/>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Yes</w:t>
            </w:r>
          </w:p>
        </w:tc>
        <w:tc>
          <w:tcPr>
            <w:tcW w:w="296" w:type="pct"/>
            <w:vMerge w:val="restart"/>
            <w:tcBorders>
              <w:top w:val="nil"/>
              <w:left w:val="single" w:sz="4" w:space="0" w:color="auto"/>
              <w:bottom w:val="single" w:sz="4" w:space="0" w:color="auto"/>
              <w:right w:val="single" w:sz="4" w:space="0" w:color="auto"/>
            </w:tcBorders>
            <w:shd w:val="clear" w:color="000000" w:fill="FFFFFF"/>
            <w:vAlign w:val="center"/>
            <w:hideMark/>
          </w:tcPr>
          <w:p w14:paraId="0268F168" w14:textId="77777777" w:rsidR="004C19E9" w:rsidRPr="004C19E9" w:rsidRDefault="004C19E9" w:rsidP="004C19E9">
            <w:pPr>
              <w:spacing w:after="0" w:line="240" w:lineRule="auto"/>
              <w:jc w:val="center"/>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3.b.1</w:t>
            </w:r>
          </w:p>
        </w:tc>
      </w:tr>
      <w:tr w:rsidR="001166FA" w:rsidRPr="004C19E9" w14:paraId="6AAE051A" w14:textId="77777777" w:rsidTr="001166FA">
        <w:trPr>
          <w:trHeight w:val="2100"/>
        </w:trPr>
        <w:tc>
          <w:tcPr>
            <w:tcW w:w="145" w:type="pct"/>
            <w:vMerge/>
            <w:tcBorders>
              <w:top w:val="nil"/>
              <w:left w:val="single" w:sz="4" w:space="0" w:color="auto"/>
              <w:bottom w:val="single" w:sz="4" w:space="0" w:color="auto"/>
              <w:right w:val="single" w:sz="4" w:space="0" w:color="auto"/>
            </w:tcBorders>
            <w:vAlign w:val="center"/>
            <w:hideMark/>
          </w:tcPr>
          <w:p w14:paraId="56D59902" w14:textId="77777777" w:rsidR="004C19E9" w:rsidRPr="004C19E9" w:rsidRDefault="004C19E9" w:rsidP="004C19E9">
            <w:pPr>
              <w:spacing w:after="0" w:line="240" w:lineRule="auto"/>
              <w:rPr>
                <w:rFonts w:ascii="Calibri" w:eastAsia="Times New Roman" w:hAnsi="Calibri" w:cs="Calibri"/>
                <w:b/>
                <w:bCs/>
                <w:color w:val="000000"/>
                <w:sz w:val="20"/>
                <w:szCs w:val="20"/>
                <w:lang w:val="en-US" w:eastAsia="en-US"/>
              </w:rPr>
            </w:pPr>
          </w:p>
        </w:tc>
        <w:tc>
          <w:tcPr>
            <w:tcW w:w="1142" w:type="pct"/>
            <w:vMerge/>
            <w:tcBorders>
              <w:top w:val="nil"/>
              <w:left w:val="single" w:sz="4" w:space="0" w:color="auto"/>
              <w:bottom w:val="single" w:sz="4" w:space="0" w:color="auto"/>
              <w:right w:val="single" w:sz="4" w:space="0" w:color="auto"/>
            </w:tcBorders>
            <w:vAlign w:val="center"/>
            <w:hideMark/>
          </w:tcPr>
          <w:p w14:paraId="5B5BCD2C"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p>
        </w:tc>
        <w:tc>
          <w:tcPr>
            <w:tcW w:w="471" w:type="pct"/>
            <w:tcBorders>
              <w:top w:val="nil"/>
              <w:left w:val="nil"/>
              <w:bottom w:val="single" w:sz="4" w:space="0" w:color="auto"/>
              <w:right w:val="single" w:sz="4" w:space="0" w:color="auto"/>
            </w:tcBorders>
            <w:shd w:val="clear" w:color="000000" w:fill="FFFFFF"/>
            <w:noWrap/>
            <w:vAlign w:val="center"/>
            <w:hideMark/>
          </w:tcPr>
          <w:p w14:paraId="6BDAFCF4" w14:textId="5DBEDB9B" w:rsidR="004C19E9" w:rsidRPr="004C19E9" w:rsidRDefault="004C19E9" w:rsidP="004C19E9">
            <w:pPr>
              <w:spacing w:after="0" w:line="240" w:lineRule="auto"/>
              <w:jc w:val="center"/>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Denominator</w:t>
            </w:r>
          </w:p>
        </w:tc>
        <w:tc>
          <w:tcPr>
            <w:tcW w:w="1199" w:type="pct"/>
            <w:tcBorders>
              <w:top w:val="nil"/>
              <w:left w:val="nil"/>
              <w:bottom w:val="single" w:sz="4" w:space="0" w:color="auto"/>
              <w:right w:val="single" w:sz="4" w:space="0" w:color="auto"/>
            </w:tcBorders>
            <w:shd w:val="clear" w:color="000000" w:fill="FFFFFF"/>
            <w:hideMark/>
          </w:tcPr>
          <w:p w14:paraId="4B271307"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for the third dose of diphtheria-tetanus-pertussis-containing vaccine (DTP3) and the third dose of pneumococcal conjugate vaccine (PcV3), the number of surviving infants and for the second dose of measles-containing vaccine (MCV2), the number of children in the cohort, according to the vaccination schedule</w:t>
            </w:r>
          </w:p>
        </w:tc>
        <w:tc>
          <w:tcPr>
            <w:tcW w:w="733" w:type="pct"/>
            <w:gridSpan w:val="2"/>
            <w:tcBorders>
              <w:top w:val="nil"/>
              <w:left w:val="nil"/>
              <w:bottom w:val="single" w:sz="4" w:space="0" w:color="auto"/>
              <w:right w:val="single" w:sz="4" w:space="0" w:color="auto"/>
            </w:tcBorders>
            <w:shd w:val="clear" w:color="000000" w:fill="FFFFFF"/>
            <w:hideMark/>
          </w:tcPr>
          <w:p w14:paraId="3511CD15"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Population-based surveys, Facility records</w:t>
            </w:r>
          </w:p>
        </w:tc>
        <w:tc>
          <w:tcPr>
            <w:tcW w:w="364" w:type="pct"/>
            <w:vMerge/>
            <w:tcBorders>
              <w:top w:val="nil"/>
              <w:left w:val="single" w:sz="4" w:space="0" w:color="auto"/>
              <w:bottom w:val="single" w:sz="4" w:space="0" w:color="auto"/>
              <w:right w:val="single" w:sz="4" w:space="0" w:color="auto"/>
            </w:tcBorders>
            <w:vAlign w:val="center"/>
            <w:hideMark/>
          </w:tcPr>
          <w:p w14:paraId="06F57ACB"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p>
        </w:tc>
        <w:tc>
          <w:tcPr>
            <w:tcW w:w="300" w:type="pct"/>
            <w:vMerge/>
            <w:tcBorders>
              <w:top w:val="nil"/>
              <w:left w:val="single" w:sz="4" w:space="0" w:color="auto"/>
              <w:bottom w:val="single" w:sz="4" w:space="0" w:color="auto"/>
              <w:right w:val="single" w:sz="4" w:space="0" w:color="auto"/>
            </w:tcBorders>
            <w:vAlign w:val="center"/>
            <w:hideMark/>
          </w:tcPr>
          <w:p w14:paraId="12748142"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p>
        </w:tc>
        <w:tc>
          <w:tcPr>
            <w:tcW w:w="350" w:type="pct"/>
            <w:vMerge/>
            <w:tcBorders>
              <w:top w:val="nil"/>
              <w:left w:val="single" w:sz="4" w:space="0" w:color="auto"/>
              <w:bottom w:val="single" w:sz="4" w:space="0" w:color="auto"/>
              <w:right w:val="single" w:sz="4" w:space="0" w:color="auto"/>
            </w:tcBorders>
            <w:vAlign w:val="center"/>
            <w:hideMark/>
          </w:tcPr>
          <w:p w14:paraId="1A8F8DB5"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p>
        </w:tc>
        <w:tc>
          <w:tcPr>
            <w:tcW w:w="296" w:type="pct"/>
            <w:vMerge/>
            <w:tcBorders>
              <w:top w:val="nil"/>
              <w:left w:val="single" w:sz="4" w:space="0" w:color="auto"/>
              <w:bottom w:val="single" w:sz="4" w:space="0" w:color="auto"/>
              <w:right w:val="single" w:sz="4" w:space="0" w:color="auto"/>
            </w:tcBorders>
            <w:vAlign w:val="center"/>
            <w:hideMark/>
          </w:tcPr>
          <w:p w14:paraId="103C0C3C"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p>
        </w:tc>
      </w:tr>
      <w:tr w:rsidR="001166FA" w:rsidRPr="004C19E9" w14:paraId="0F5348E2" w14:textId="77777777" w:rsidTr="001166FA">
        <w:trPr>
          <w:trHeight w:val="890"/>
        </w:trPr>
        <w:tc>
          <w:tcPr>
            <w:tcW w:w="145"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3106B633" w14:textId="77777777" w:rsidR="004C19E9" w:rsidRPr="004C19E9" w:rsidRDefault="004C19E9" w:rsidP="004C19E9">
            <w:pPr>
              <w:spacing w:after="0" w:line="240" w:lineRule="auto"/>
              <w:jc w:val="center"/>
              <w:rPr>
                <w:rFonts w:ascii="Calibri" w:eastAsia="Times New Roman" w:hAnsi="Calibri" w:cs="Calibri"/>
                <w:b/>
                <w:bCs/>
                <w:color w:val="000000"/>
                <w:sz w:val="20"/>
                <w:szCs w:val="20"/>
                <w:lang w:val="en-US" w:eastAsia="en-US"/>
              </w:rPr>
            </w:pPr>
            <w:r w:rsidRPr="004C19E9">
              <w:rPr>
                <w:rFonts w:ascii="Calibri" w:eastAsia="Times New Roman" w:hAnsi="Calibri" w:cs="Calibri"/>
                <w:b/>
                <w:bCs/>
                <w:color w:val="000000"/>
                <w:sz w:val="20"/>
                <w:szCs w:val="20"/>
                <w:lang w:val="en-US" w:eastAsia="en-US"/>
              </w:rPr>
              <w:t>4</w:t>
            </w:r>
          </w:p>
        </w:tc>
        <w:tc>
          <w:tcPr>
            <w:tcW w:w="1142" w:type="pct"/>
            <w:vMerge w:val="restart"/>
            <w:tcBorders>
              <w:top w:val="nil"/>
              <w:left w:val="single" w:sz="4" w:space="0" w:color="auto"/>
              <w:bottom w:val="single" w:sz="4" w:space="0" w:color="auto"/>
              <w:right w:val="single" w:sz="4" w:space="0" w:color="auto"/>
            </w:tcBorders>
            <w:shd w:val="clear" w:color="000000" w:fill="FFFFFF"/>
            <w:vAlign w:val="center"/>
            <w:hideMark/>
          </w:tcPr>
          <w:p w14:paraId="698890C0"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EC neglected tropical diseases preventive services – proxied using the geometric mean of treatment coverage of five neglected tropical diseases.</w:t>
            </w:r>
          </w:p>
        </w:tc>
        <w:tc>
          <w:tcPr>
            <w:tcW w:w="471" w:type="pct"/>
            <w:tcBorders>
              <w:top w:val="nil"/>
              <w:left w:val="nil"/>
              <w:bottom w:val="single" w:sz="4" w:space="0" w:color="auto"/>
              <w:right w:val="single" w:sz="4" w:space="0" w:color="auto"/>
            </w:tcBorders>
            <w:shd w:val="clear" w:color="000000" w:fill="FFFFFF"/>
            <w:noWrap/>
            <w:vAlign w:val="center"/>
            <w:hideMark/>
          </w:tcPr>
          <w:p w14:paraId="372607DE" w14:textId="77777777" w:rsidR="004C19E9" w:rsidRPr="004C19E9" w:rsidRDefault="004C19E9" w:rsidP="004C19E9">
            <w:pPr>
              <w:spacing w:after="0" w:line="240" w:lineRule="auto"/>
              <w:jc w:val="center"/>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Numerator</w:t>
            </w:r>
          </w:p>
        </w:tc>
        <w:tc>
          <w:tcPr>
            <w:tcW w:w="1199" w:type="pct"/>
            <w:tcBorders>
              <w:top w:val="nil"/>
              <w:left w:val="nil"/>
              <w:bottom w:val="single" w:sz="4" w:space="0" w:color="auto"/>
              <w:right w:val="single" w:sz="4" w:space="0" w:color="auto"/>
            </w:tcBorders>
            <w:shd w:val="clear" w:color="000000" w:fill="FFFFFF"/>
            <w:hideMark/>
          </w:tcPr>
          <w:p w14:paraId="49089BA0"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number of people receiving preventive therapy for lymphatic filariasis, onchocerciasis, schistosomiasis, soil-transmitted helminthiases and trachoma****</w:t>
            </w:r>
          </w:p>
        </w:tc>
        <w:tc>
          <w:tcPr>
            <w:tcW w:w="733" w:type="pct"/>
            <w:gridSpan w:val="2"/>
            <w:tcBorders>
              <w:top w:val="nil"/>
              <w:left w:val="nil"/>
              <w:bottom w:val="single" w:sz="4" w:space="0" w:color="auto"/>
              <w:right w:val="single" w:sz="4" w:space="0" w:color="auto"/>
            </w:tcBorders>
            <w:shd w:val="clear" w:color="000000" w:fill="FFFFFF"/>
            <w:hideMark/>
          </w:tcPr>
          <w:p w14:paraId="6A472A01"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Registries, Population-based surveys</w:t>
            </w:r>
          </w:p>
        </w:tc>
        <w:tc>
          <w:tcPr>
            <w:tcW w:w="364" w:type="pct"/>
            <w:vMerge w:val="restart"/>
            <w:tcBorders>
              <w:top w:val="nil"/>
              <w:left w:val="single" w:sz="4" w:space="0" w:color="auto"/>
              <w:bottom w:val="single" w:sz="4" w:space="0" w:color="auto"/>
              <w:right w:val="single" w:sz="4" w:space="0" w:color="auto"/>
            </w:tcBorders>
            <w:shd w:val="clear" w:color="000000" w:fill="FFFFFF"/>
            <w:vAlign w:val="center"/>
            <w:hideMark/>
          </w:tcPr>
          <w:p w14:paraId="4723633F" w14:textId="77777777" w:rsidR="004C19E9" w:rsidRPr="004C19E9" w:rsidRDefault="004C19E9" w:rsidP="004C19E9">
            <w:pPr>
              <w:spacing w:after="0" w:line="240" w:lineRule="auto"/>
              <w:jc w:val="center"/>
              <w:rPr>
                <w:rFonts w:ascii="Calibri" w:eastAsia="Times New Roman" w:hAnsi="Calibri" w:cs="Calibri"/>
                <w:sz w:val="20"/>
                <w:szCs w:val="20"/>
                <w:lang w:val="en-US" w:eastAsia="en-US"/>
              </w:rPr>
            </w:pPr>
            <w:r w:rsidRPr="004C19E9">
              <w:rPr>
                <w:rFonts w:ascii="Calibri" w:eastAsia="Times New Roman" w:hAnsi="Calibri" w:cs="Calibri"/>
                <w:sz w:val="20"/>
                <w:szCs w:val="20"/>
                <w:lang w:val="en-US" w:eastAsia="en-US"/>
              </w:rPr>
              <w:t>SCH - 52</w:t>
            </w:r>
            <w:r w:rsidRPr="004C19E9">
              <w:rPr>
                <w:rFonts w:ascii="Calibri" w:eastAsia="Times New Roman" w:hAnsi="Calibri" w:cs="Calibri"/>
                <w:sz w:val="20"/>
                <w:szCs w:val="20"/>
                <w:lang w:val="en-US" w:eastAsia="en-US"/>
              </w:rPr>
              <w:br/>
              <w:t>STH - 101</w:t>
            </w:r>
            <w:r w:rsidRPr="004C19E9">
              <w:rPr>
                <w:rFonts w:ascii="Calibri" w:eastAsia="Times New Roman" w:hAnsi="Calibri" w:cs="Calibri"/>
                <w:sz w:val="20"/>
                <w:szCs w:val="20"/>
                <w:lang w:val="en-US" w:eastAsia="en-US"/>
              </w:rPr>
              <w:br/>
              <w:t>LF - 51</w:t>
            </w:r>
            <w:r w:rsidRPr="004C19E9">
              <w:rPr>
                <w:rFonts w:ascii="Calibri" w:eastAsia="Times New Roman" w:hAnsi="Calibri" w:cs="Calibri"/>
                <w:sz w:val="20"/>
                <w:szCs w:val="20"/>
                <w:lang w:val="en-US" w:eastAsia="en-US"/>
              </w:rPr>
              <w:br/>
              <w:t>Trach - 40</w:t>
            </w:r>
            <w:r w:rsidRPr="004C19E9">
              <w:rPr>
                <w:rFonts w:ascii="Calibri" w:eastAsia="Times New Roman" w:hAnsi="Calibri" w:cs="Calibri"/>
                <w:sz w:val="20"/>
                <w:szCs w:val="20"/>
                <w:lang w:val="en-US" w:eastAsia="en-US"/>
              </w:rPr>
              <w:br/>
              <w:t>Oncho - 31</w:t>
            </w:r>
          </w:p>
        </w:tc>
        <w:tc>
          <w:tcPr>
            <w:tcW w:w="300" w:type="pct"/>
            <w:vMerge w:val="restart"/>
            <w:tcBorders>
              <w:top w:val="nil"/>
              <w:left w:val="single" w:sz="4" w:space="0" w:color="auto"/>
              <w:bottom w:val="single" w:sz="4" w:space="0" w:color="auto"/>
              <w:right w:val="single" w:sz="4" w:space="0" w:color="auto"/>
            </w:tcBorders>
            <w:shd w:val="clear" w:color="000000" w:fill="FFFFFF"/>
            <w:vAlign w:val="center"/>
            <w:hideMark/>
          </w:tcPr>
          <w:p w14:paraId="33A33D88" w14:textId="77777777" w:rsidR="004C19E9" w:rsidRPr="004C19E9" w:rsidRDefault="004C19E9" w:rsidP="004C19E9">
            <w:pPr>
              <w:spacing w:after="0" w:line="240" w:lineRule="auto"/>
              <w:jc w:val="center"/>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Yes</w:t>
            </w:r>
          </w:p>
        </w:tc>
        <w:tc>
          <w:tcPr>
            <w:tcW w:w="350" w:type="pct"/>
            <w:vMerge w:val="restart"/>
            <w:tcBorders>
              <w:top w:val="nil"/>
              <w:left w:val="single" w:sz="4" w:space="0" w:color="auto"/>
              <w:bottom w:val="single" w:sz="4" w:space="0" w:color="auto"/>
              <w:right w:val="single" w:sz="4" w:space="0" w:color="auto"/>
            </w:tcBorders>
            <w:shd w:val="clear" w:color="000000" w:fill="FFFFFF"/>
            <w:vAlign w:val="center"/>
            <w:hideMark/>
          </w:tcPr>
          <w:p w14:paraId="187C557D" w14:textId="77777777" w:rsidR="004C19E9" w:rsidRPr="004C19E9" w:rsidRDefault="004C19E9" w:rsidP="004C19E9">
            <w:pPr>
              <w:spacing w:after="0" w:line="240" w:lineRule="auto"/>
              <w:jc w:val="center"/>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Yes</w:t>
            </w:r>
          </w:p>
        </w:tc>
        <w:tc>
          <w:tcPr>
            <w:tcW w:w="296" w:type="pct"/>
            <w:vMerge w:val="restart"/>
            <w:tcBorders>
              <w:top w:val="nil"/>
              <w:left w:val="single" w:sz="4" w:space="0" w:color="auto"/>
              <w:bottom w:val="single" w:sz="4" w:space="0" w:color="auto"/>
              <w:right w:val="single" w:sz="4" w:space="0" w:color="auto"/>
            </w:tcBorders>
            <w:shd w:val="clear" w:color="000000" w:fill="FFFFFF"/>
            <w:vAlign w:val="center"/>
            <w:hideMark/>
          </w:tcPr>
          <w:p w14:paraId="74E85008" w14:textId="77777777" w:rsidR="004C19E9" w:rsidRPr="004C19E9" w:rsidRDefault="004C19E9" w:rsidP="004C19E9">
            <w:pPr>
              <w:spacing w:after="0" w:line="240" w:lineRule="auto"/>
              <w:jc w:val="center"/>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3.3.5</w:t>
            </w:r>
          </w:p>
        </w:tc>
      </w:tr>
      <w:tr w:rsidR="001166FA" w:rsidRPr="004C19E9" w14:paraId="558F2ACB" w14:textId="77777777" w:rsidTr="001166FA">
        <w:trPr>
          <w:trHeight w:val="773"/>
        </w:trPr>
        <w:tc>
          <w:tcPr>
            <w:tcW w:w="145" w:type="pct"/>
            <w:vMerge/>
            <w:tcBorders>
              <w:top w:val="nil"/>
              <w:left w:val="single" w:sz="4" w:space="0" w:color="auto"/>
              <w:bottom w:val="single" w:sz="4" w:space="0" w:color="auto"/>
              <w:right w:val="single" w:sz="4" w:space="0" w:color="auto"/>
            </w:tcBorders>
            <w:vAlign w:val="center"/>
            <w:hideMark/>
          </w:tcPr>
          <w:p w14:paraId="091FB0E4" w14:textId="77777777" w:rsidR="004C19E9" w:rsidRPr="004C19E9" w:rsidRDefault="004C19E9" w:rsidP="004C19E9">
            <w:pPr>
              <w:spacing w:after="0" w:line="240" w:lineRule="auto"/>
              <w:rPr>
                <w:rFonts w:ascii="Calibri" w:eastAsia="Times New Roman" w:hAnsi="Calibri" w:cs="Calibri"/>
                <w:b/>
                <w:bCs/>
                <w:color w:val="000000"/>
                <w:sz w:val="20"/>
                <w:szCs w:val="20"/>
                <w:lang w:val="en-US" w:eastAsia="en-US"/>
              </w:rPr>
            </w:pPr>
          </w:p>
        </w:tc>
        <w:tc>
          <w:tcPr>
            <w:tcW w:w="1142" w:type="pct"/>
            <w:vMerge/>
            <w:tcBorders>
              <w:top w:val="nil"/>
              <w:left w:val="single" w:sz="4" w:space="0" w:color="auto"/>
              <w:bottom w:val="single" w:sz="4" w:space="0" w:color="auto"/>
              <w:right w:val="single" w:sz="4" w:space="0" w:color="auto"/>
            </w:tcBorders>
            <w:vAlign w:val="center"/>
            <w:hideMark/>
          </w:tcPr>
          <w:p w14:paraId="1FD1C371"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p>
        </w:tc>
        <w:tc>
          <w:tcPr>
            <w:tcW w:w="471" w:type="pct"/>
            <w:tcBorders>
              <w:top w:val="nil"/>
              <w:left w:val="nil"/>
              <w:bottom w:val="single" w:sz="4" w:space="0" w:color="auto"/>
              <w:right w:val="single" w:sz="4" w:space="0" w:color="auto"/>
            </w:tcBorders>
            <w:shd w:val="clear" w:color="000000" w:fill="FFFFFF"/>
            <w:noWrap/>
            <w:vAlign w:val="center"/>
            <w:hideMark/>
          </w:tcPr>
          <w:p w14:paraId="4D438AC2" w14:textId="77777777" w:rsidR="004C19E9" w:rsidRPr="004C19E9" w:rsidRDefault="004C19E9" w:rsidP="004C19E9">
            <w:pPr>
              <w:spacing w:after="0" w:line="240" w:lineRule="auto"/>
              <w:jc w:val="center"/>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Denominator</w:t>
            </w:r>
          </w:p>
        </w:tc>
        <w:tc>
          <w:tcPr>
            <w:tcW w:w="1199" w:type="pct"/>
            <w:tcBorders>
              <w:top w:val="nil"/>
              <w:left w:val="nil"/>
              <w:bottom w:val="single" w:sz="4" w:space="0" w:color="auto"/>
              <w:right w:val="single" w:sz="4" w:space="0" w:color="auto"/>
            </w:tcBorders>
            <w:shd w:val="clear" w:color="000000" w:fill="FFFFFF"/>
            <w:hideMark/>
          </w:tcPr>
          <w:p w14:paraId="332F23F9"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number of people requiring treatment for lymphatic filariasis, onchocerciasis, schistosomiasis, soil-transmitted helminthiases and trachoma****</w:t>
            </w:r>
          </w:p>
        </w:tc>
        <w:tc>
          <w:tcPr>
            <w:tcW w:w="733" w:type="pct"/>
            <w:gridSpan w:val="2"/>
            <w:tcBorders>
              <w:top w:val="nil"/>
              <w:left w:val="nil"/>
              <w:bottom w:val="single" w:sz="4" w:space="0" w:color="auto"/>
              <w:right w:val="single" w:sz="4" w:space="0" w:color="auto"/>
            </w:tcBorders>
            <w:shd w:val="clear" w:color="000000" w:fill="FFFFFF"/>
            <w:hideMark/>
          </w:tcPr>
          <w:p w14:paraId="3283C5B9"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Registries, Population-based surveys</w:t>
            </w:r>
          </w:p>
        </w:tc>
        <w:tc>
          <w:tcPr>
            <w:tcW w:w="364" w:type="pct"/>
            <w:vMerge/>
            <w:tcBorders>
              <w:top w:val="nil"/>
              <w:left w:val="single" w:sz="4" w:space="0" w:color="auto"/>
              <w:bottom w:val="single" w:sz="4" w:space="0" w:color="auto"/>
              <w:right w:val="single" w:sz="4" w:space="0" w:color="auto"/>
            </w:tcBorders>
            <w:vAlign w:val="center"/>
            <w:hideMark/>
          </w:tcPr>
          <w:p w14:paraId="044521E1" w14:textId="77777777" w:rsidR="004C19E9" w:rsidRPr="004C19E9" w:rsidRDefault="004C19E9" w:rsidP="004C19E9">
            <w:pPr>
              <w:spacing w:after="0" w:line="240" w:lineRule="auto"/>
              <w:rPr>
                <w:rFonts w:ascii="Calibri" w:eastAsia="Times New Roman" w:hAnsi="Calibri" w:cs="Calibri"/>
                <w:sz w:val="20"/>
                <w:szCs w:val="20"/>
                <w:lang w:val="en-US" w:eastAsia="en-US"/>
              </w:rPr>
            </w:pPr>
          </w:p>
        </w:tc>
        <w:tc>
          <w:tcPr>
            <w:tcW w:w="300" w:type="pct"/>
            <w:vMerge/>
            <w:tcBorders>
              <w:top w:val="nil"/>
              <w:left w:val="single" w:sz="4" w:space="0" w:color="auto"/>
              <w:bottom w:val="single" w:sz="4" w:space="0" w:color="auto"/>
              <w:right w:val="single" w:sz="4" w:space="0" w:color="auto"/>
            </w:tcBorders>
            <w:vAlign w:val="center"/>
            <w:hideMark/>
          </w:tcPr>
          <w:p w14:paraId="6B3155C8"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p>
        </w:tc>
        <w:tc>
          <w:tcPr>
            <w:tcW w:w="350" w:type="pct"/>
            <w:vMerge/>
            <w:tcBorders>
              <w:top w:val="nil"/>
              <w:left w:val="single" w:sz="4" w:space="0" w:color="auto"/>
              <w:bottom w:val="single" w:sz="4" w:space="0" w:color="auto"/>
              <w:right w:val="single" w:sz="4" w:space="0" w:color="auto"/>
            </w:tcBorders>
            <w:vAlign w:val="center"/>
            <w:hideMark/>
          </w:tcPr>
          <w:p w14:paraId="5EB4B777"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p>
        </w:tc>
        <w:tc>
          <w:tcPr>
            <w:tcW w:w="296" w:type="pct"/>
            <w:vMerge/>
            <w:tcBorders>
              <w:top w:val="nil"/>
              <w:left w:val="single" w:sz="4" w:space="0" w:color="auto"/>
              <w:bottom w:val="single" w:sz="4" w:space="0" w:color="auto"/>
              <w:right w:val="single" w:sz="4" w:space="0" w:color="auto"/>
            </w:tcBorders>
            <w:vAlign w:val="center"/>
            <w:hideMark/>
          </w:tcPr>
          <w:p w14:paraId="55EF39F4"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p>
        </w:tc>
      </w:tr>
      <w:tr w:rsidR="001166FA" w:rsidRPr="004C19E9" w14:paraId="5BC7F775" w14:textId="77777777" w:rsidTr="001166FA">
        <w:trPr>
          <w:trHeight w:val="600"/>
        </w:trPr>
        <w:tc>
          <w:tcPr>
            <w:tcW w:w="145"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70698FD3" w14:textId="77777777" w:rsidR="004C19E9" w:rsidRPr="004C19E9" w:rsidRDefault="004C19E9" w:rsidP="004C19E9">
            <w:pPr>
              <w:spacing w:after="0" w:line="240" w:lineRule="auto"/>
              <w:jc w:val="center"/>
              <w:rPr>
                <w:rFonts w:ascii="Calibri" w:eastAsia="Times New Roman" w:hAnsi="Calibri" w:cs="Calibri"/>
                <w:b/>
                <w:bCs/>
                <w:color w:val="000000"/>
                <w:sz w:val="20"/>
                <w:szCs w:val="20"/>
                <w:lang w:val="en-US" w:eastAsia="en-US"/>
              </w:rPr>
            </w:pPr>
            <w:r w:rsidRPr="004C19E9">
              <w:rPr>
                <w:rFonts w:ascii="Calibri" w:eastAsia="Times New Roman" w:hAnsi="Calibri" w:cs="Calibri"/>
                <w:b/>
                <w:bCs/>
                <w:color w:val="000000"/>
                <w:sz w:val="20"/>
                <w:szCs w:val="20"/>
                <w:lang w:val="en-US" w:eastAsia="en-US"/>
              </w:rPr>
              <w:t>5</w:t>
            </w:r>
          </w:p>
        </w:tc>
        <w:tc>
          <w:tcPr>
            <w:tcW w:w="1142" w:type="pct"/>
            <w:vMerge w:val="restart"/>
            <w:tcBorders>
              <w:top w:val="nil"/>
              <w:left w:val="single" w:sz="4" w:space="0" w:color="auto"/>
              <w:bottom w:val="single" w:sz="4" w:space="0" w:color="auto"/>
              <w:right w:val="single" w:sz="4" w:space="0" w:color="auto"/>
            </w:tcBorders>
            <w:shd w:val="clear" w:color="000000" w:fill="FFFFFF"/>
            <w:vAlign w:val="center"/>
            <w:hideMark/>
          </w:tcPr>
          <w:p w14:paraId="1CBF88F1"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 xml:space="preserve">EC vector control for malaria – proxied using the fraction of a population sleeping under an insecticide-treated net or with effective indoor residual spraying. </w:t>
            </w:r>
          </w:p>
        </w:tc>
        <w:tc>
          <w:tcPr>
            <w:tcW w:w="471" w:type="pct"/>
            <w:tcBorders>
              <w:top w:val="nil"/>
              <w:left w:val="nil"/>
              <w:bottom w:val="single" w:sz="4" w:space="0" w:color="auto"/>
              <w:right w:val="single" w:sz="4" w:space="0" w:color="auto"/>
            </w:tcBorders>
            <w:shd w:val="clear" w:color="000000" w:fill="FFFFFF"/>
            <w:noWrap/>
            <w:vAlign w:val="center"/>
            <w:hideMark/>
          </w:tcPr>
          <w:p w14:paraId="7AF53F9E" w14:textId="77777777" w:rsidR="004C19E9" w:rsidRPr="004C19E9" w:rsidRDefault="004C19E9" w:rsidP="004C19E9">
            <w:pPr>
              <w:spacing w:after="0" w:line="240" w:lineRule="auto"/>
              <w:jc w:val="center"/>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Numerator</w:t>
            </w:r>
          </w:p>
        </w:tc>
        <w:tc>
          <w:tcPr>
            <w:tcW w:w="1199" w:type="pct"/>
            <w:tcBorders>
              <w:top w:val="nil"/>
              <w:left w:val="nil"/>
              <w:bottom w:val="single" w:sz="4" w:space="0" w:color="auto"/>
              <w:right w:val="single" w:sz="4" w:space="0" w:color="auto"/>
            </w:tcBorders>
            <w:shd w:val="clear" w:color="000000" w:fill="FFFFFF"/>
            <w:hideMark/>
          </w:tcPr>
          <w:p w14:paraId="2D9687D6"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number of people who slept under an insecticide-treated net or number of households that received effective indoor residual spraying</w:t>
            </w:r>
          </w:p>
        </w:tc>
        <w:tc>
          <w:tcPr>
            <w:tcW w:w="733" w:type="pct"/>
            <w:gridSpan w:val="2"/>
            <w:tcBorders>
              <w:top w:val="nil"/>
              <w:left w:val="nil"/>
              <w:bottom w:val="single" w:sz="4" w:space="0" w:color="auto"/>
              <w:right w:val="single" w:sz="4" w:space="0" w:color="auto"/>
            </w:tcBorders>
            <w:shd w:val="clear" w:color="000000" w:fill="FFFFFF"/>
            <w:hideMark/>
          </w:tcPr>
          <w:p w14:paraId="02E5E4E7"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Facility records, Population-based surveys</w:t>
            </w:r>
          </w:p>
        </w:tc>
        <w:tc>
          <w:tcPr>
            <w:tcW w:w="364" w:type="pct"/>
            <w:vMerge w:val="restart"/>
            <w:tcBorders>
              <w:top w:val="nil"/>
              <w:left w:val="single" w:sz="4" w:space="0" w:color="auto"/>
              <w:bottom w:val="single" w:sz="4" w:space="0" w:color="auto"/>
              <w:right w:val="single" w:sz="4" w:space="0" w:color="auto"/>
            </w:tcBorders>
            <w:shd w:val="clear" w:color="000000" w:fill="FFFFFF"/>
            <w:vAlign w:val="center"/>
            <w:hideMark/>
          </w:tcPr>
          <w:p w14:paraId="488B2252" w14:textId="77777777" w:rsidR="004C19E9" w:rsidRPr="004C19E9" w:rsidRDefault="004C19E9" w:rsidP="004C19E9">
            <w:pPr>
              <w:spacing w:after="0" w:line="240" w:lineRule="auto"/>
              <w:jc w:val="center"/>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32**</w:t>
            </w:r>
          </w:p>
        </w:tc>
        <w:tc>
          <w:tcPr>
            <w:tcW w:w="300" w:type="pct"/>
            <w:vMerge w:val="restart"/>
            <w:tcBorders>
              <w:top w:val="nil"/>
              <w:left w:val="single" w:sz="4" w:space="0" w:color="auto"/>
              <w:bottom w:val="single" w:sz="4" w:space="0" w:color="auto"/>
              <w:right w:val="single" w:sz="4" w:space="0" w:color="auto"/>
            </w:tcBorders>
            <w:shd w:val="clear" w:color="000000" w:fill="FFFFFF"/>
            <w:vAlign w:val="center"/>
            <w:hideMark/>
          </w:tcPr>
          <w:p w14:paraId="1CB08AAC" w14:textId="77777777" w:rsidR="004C19E9" w:rsidRPr="004C19E9" w:rsidRDefault="004C19E9" w:rsidP="004C19E9">
            <w:pPr>
              <w:spacing w:after="0" w:line="240" w:lineRule="auto"/>
              <w:jc w:val="center"/>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Yes</w:t>
            </w:r>
          </w:p>
        </w:tc>
        <w:tc>
          <w:tcPr>
            <w:tcW w:w="350" w:type="pct"/>
            <w:vMerge w:val="restart"/>
            <w:tcBorders>
              <w:top w:val="nil"/>
              <w:left w:val="single" w:sz="4" w:space="0" w:color="auto"/>
              <w:bottom w:val="single" w:sz="4" w:space="0" w:color="auto"/>
              <w:right w:val="single" w:sz="4" w:space="0" w:color="auto"/>
            </w:tcBorders>
            <w:shd w:val="clear" w:color="000000" w:fill="FFFFFF"/>
            <w:vAlign w:val="center"/>
            <w:hideMark/>
          </w:tcPr>
          <w:p w14:paraId="3BC49BA9" w14:textId="77777777" w:rsidR="004C19E9" w:rsidRPr="004C19E9" w:rsidRDefault="004C19E9" w:rsidP="004C19E9">
            <w:pPr>
              <w:spacing w:after="0" w:line="240" w:lineRule="auto"/>
              <w:jc w:val="center"/>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Yes</w:t>
            </w:r>
          </w:p>
        </w:tc>
        <w:tc>
          <w:tcPr>
            <w:tcW w:w="296" w:type="pct"/>
            <w:vMerge w:val="restart"/>
            <w:tcBorders>
              <w:top w:val="nil"/>
              <w:left w:val="single" w:sz="4" w:space="0" w:color="auto"/>
              <w:bottom w:val="single" w:sz="4" w:space="0" w:color="auto"/>
              <w:right w:val="single" w:sz="4" w:space="0" w:color="auto"/>
            </w:tcBorders>
            <w:shd w:val="clear" w:color="000000" w:fill="FFFFFF"/>
            <w:vAlign w:val="center"/>
            <w:hideMark/>
          </w:tcPr>
          <w:p w14:paraId="00947E8F" w14:textId="77777777" w:rsidR="004C19E9" w:rsidRPr="004C19E9" w:rsidRDefault="004C19E9" w:rsidP="004C19E9">
            <w:pPr>
              <w:spacing w:after="0" w:line="240" w:lineRule="auto"/>
              <w:jc w:val="center"/>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3.3.3</w:t>
            </w:r>
          </w:p>
        </w:tc>
      </w:tr>
      <w:tr w:rsidR="001166FA" w:rsidRPr="004C19E9" w14:paraId="1C38D8E1" w14:textId="77777777" w:rsidTr="001166FA">
        <w:trPr>
          <w:trHeight w:val="600"/>
        </w:trPr>
        <w:tc>
          <w:tcPr>
            <w:tcW w:w="145" w:type="pct"/>
            <w:vMerge/>
            <w:tcBorders>
              <w:top w:val="nil"/>
              <w:left w:val="single" w:sz="4" w:space="0" w:color="auto"/>
              <w:bottom w:val="single" w:sz="4" w:space="0" w:color="auto"/>
              <w:right w:val="single" w:sz="4" w:space="0" w:color="auto"/>
            </w:tcBorders>
            <w:vAlign w:val="center"/>
            <w:hideMark/>
          </w:tcPr>
          <w:p w14:paraId="216D3699" w14:textId="77777777" w:rsidR="004C19E9" w:rsidRPr="004C19E9" w:rsidRDefault="004C19E9" w:rsidP="004C19E9">
            <w:pPr>
              <w:spacing w:after="0" w:line="240" w:lineRule="auto"/>
              <w:rPr>
                <w:rFonts w:ascii="Calibri" w:eastAsia="Times New Roman" w:hAnsi="Calibri" w:cs="Calibri"/>
                <w:b/>
                <w:bCs/>
                <w:color w:val="000000"/>
                <w:sz w:val="20"/>
                <w:szCs w:val="20"/>
                <w:lang w:val="en-US" w:eastAsia="en-US"/>
              </w:rPr>
            </w:pPr>
          </w:p>
        </w:tc>
        <w:tc>
          <w:tcPr>
            <w:tcW w:w="1142" w:type="pct"/>
            <w:vMerge/>
            <w:tcBorders>
              <w:top w:val="nil"/>
              <w:left w:val="single" w:sz="4" w:space="0" w:color="auto"/>
              <w:bottom w:val="single" w:sz="4" w:space="0" w:color="auto"/>
              <w:right w:val="single" w:sz="4" w:space="0" w:color="auto"/>
            </w:tcBorders>
            <w:vAlign w:val="center"/>
            <w:hideMark/>
          </w:tcPr>
          <w:p w14:paraId="75D44A85"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p>
        </w:tc>
        <w:tc>
          <w:tcPr>
            <w:tcW w:w="471" w:type="pct"/>
            <w:tcBorders>
              <w:top w:val="nil"/>
              <w:left w:val="nil"/>
              <w:bottom w:val="single" w:sz="4" w:space="0" w:color="auto"/>
              <w:right w:val="single" w:sz="4" w:space="0" w:color="auto"/>
            </w:tcBorders>
            <w:shd w:val="clear" w:color="000000" w:fill="FFFFFF"/>
            <w:noWrap/>
            <w:vAlign w:val="center"/>
            <w:hideMark/>
          </w:tcPr>
          <w:p w14:paraId="6C3BC055" w14:textId="77777777" w:rsidR="004C19E9" w:rsidRPr="004C19E9" w:rsidRDefault="004C19E9" w:rsidP="004C19E9">
            <w:pPr>
              <w:spacing w:after="0" w:line="240" w:lineRule="auto"/>
              <w:jc w:val="center"/>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Denominator</w:t>
            </w:r>
          </w:p>
        </w:tc>
        <w:tc>
          <w:tcPr>
            <w:tcW w:w="1199" w:type="pct"/>
            <w:tcBorders>
              <w:top w:val="nil"/>
              <w:left w:val="nil"/>
              <w:bottom w:val="single" w:sz="4" w:space="0" w:color="auto"/>
              <w:right w:val="single" w:sz="4" w:space="0" w:color="auto"/>
            </w:tcBorders>
            <w:shd w:val="clear" w:color="000000" w:fill="FFFFFF"/>
            <w:hideMark/>
          </w:tcPr>
          <w:p w14:paraId="4B4E6BFF"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population at risk of malaria targeted for the intervention</w:t>
            </w:r>
          </w:p>
        </w:tc>
        <w:tc>
          <w:tcPr>
            <w:tcW w:w="733" w:type="pct"/>
            <w:gridSpan w:val="2"/>
            <w:tcBorders>
              <w:top w:val="nil"/>
              <w:left w:val="nil"/>
              <w:bottom w:val="single" w:sz="4" w:space="0" w:color="auto"/>
              <w:right w:val="single" w:sz="4" w:space="0" w:color="auto"/>
            </w:tcBorders>
            <w:shd w:val="clear" w:color="000000" w:fill="FFFFFF"/>
            <w:hideMark/>
          </w:tcPr>
          <w:p w14:paraId="1A91FDDD"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CRVS</w:t>
            </w:r>
          </w:p>
        </w:tc>
        <w:tc>
          <w:tcPr>
            <w:tcW w:w="364" w:type="pct"/>
            <w:vMerge/>
            <w:tcBorders>
              <w:top w:val="nil"/>
              <w:left w:val="single" w:sz="4" w:space="0" w:color="auto"/>
              <w:bottom w:val="single" w:sz="4" w:space="0" w:color="auto"/>
              <w:right w:val="single" w:sz="4" w:space="0" w:color="auto"/>
            </w:tcBorders>
            <w:vAlign w:val="center"/>
            <w:hideMark/>
          </w:tcPr>
          <w:p w14:paraId="6DC4D429"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p>
        </w:tc>
        <w:tc>
          <w:tcPr>
            <w:tcW w:w="300" w:type="pct"/>
            <w:vMerge/>
            <w:tcBorders>
              <w:top w:val="nil"/>
              <w:left w:val="single" w:sz="4" w:space="0" w:color="auto"/>
              <w:bottom w:val="single" w:sz="4" w:space="0" w:color="auto"/>
              <w:right w:val="single" w:sz="4" w:space="0" w:color="auto"/>
            </w:tcBorders>
            <w:vAlign w:val="center"/>
            <w:hideMark/>
          </w:tcPr>
          <w:p w14:paraId="330C10AC"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p>
        </w:tc>
        <w:tc>
          <w:tcPr>
            <w:tcW w:w="350" w:type="pct"/>
            <w:vMerge/>
            <w:tcBorders>
              <w:top w:val="nil"/>
              <w:left w:val="single" w:sz="4" w:space="0" w:color="auto"/>
              <w:bottom w:val="single" w:sz="4" w:space="0" w:color="auto"/>
              <w:right w:val="single" w:sz="4" w:space="0" w:color="auto"/>
            </w:tcBorders>
            <w:vAlign w:val="center"/>
            <w:hideMark/>
          </w:tcPr>
          <w:p w14:paraId="70E85FFD"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p>
        </w:tc>
        <w:tc>
          <w:tcPr>
            <w:tcW w:w="296" w:type="pct"/>
            <w:vMerge/>
            <w:tcBorders>
              <w:top w:val="nil"/>
              <w:left w:val="single" w:sz="4" w:space="0" w:color="auto"/>
              <w:bottom w:val="single" w:sz="4" w:space="0" w:color="auto"/>
              <w:right w:val="single" w:sz="4" w:space="0" w:color="auto"/>
            </w:tcBorders>
            <w:vAlign w:val="center"/>
            <w:hideMark/>
          </w:tcPr>
          <w:p w14:paraId="1DB74E05"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p>
        </w:tc>
      </w:tr>
      <w:tr w:rsidR="001166FA" w:rsidRPr="004C19E9" w14:paraId="52405D06" w14:textId="77777777" w:rsidTr="001166FA">
        <w:trPr>
          <w:trHeight w:val="600"/>
        </w:trPr>
        <w:tc>
          <w:tcPr>
            <w:tcW w:w="145"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4BE4F905" w14:textId="77777777" w:rsidR="004C19E9" w:rsidRPr="004C19E9" w:rsidRDefault="004C19E9" w:rsidP="004C19E9">
            <w:pPr>
              <w:spacing w:after="0" w:line="240" w:lineRule="auto"/>
              <w:jc w:val="center"/>
              <w:rPr>
                <w:rFonts w:ascii="Calibri" w:eastAsia="Times New Roman" w:hAnsi="Calibri" w:cs="Calibri"/>
                <w:b/>
                <w:bCs/>
                <w:color w:val="000000"/>
                <w:sz w:val="20"/>
                <w:szCs w:val="20"/>
                <w:lang w:val="en-US" w:eastAsia="en-US"/>
              </w:rPr>
            </w:pPr>
            <w:r w:rsidRPr="004C19E9">
              <w:rPr>
                <w:rFonts w:ascii="Calibri" w:eastAsia="Times New Roman" w:hAnsi="Calibri" w:cs="Calibri"/>
                <w:b/>
                <w:bCs/>
                <w:color w:val="000000"/>
                <w:sz w:val="20"/>
                <w:szCs w:val="20"/>
                <w:lang w:val="en-US" w:eastAsia="en-US"/>
              </w:rPr>
              <w:t>6</w:t>
            </w:r>
          </w:p>
        </w:tc>
        <w:tc>
          <w:tcPr>
            <w:tcW w:w="1142" w:type="pct"/>
            <w:vMerge w:val="restart"/>
            <w:tcBorders>
              <w:top w:val="nil"/>
              <w:left w:val="single" w:sz="4" w:space="0" w:color="auto"/>
              <w:bottom w:val="single" w:sz="4" w:space="0" w:color="auto"/>
              <w:right w:val="single" w:sz="4" w:space="0" w:color="auto"/>
            </w:tcBorders>
            <w:shd w:val="clear" w:color="000000" w:fill="FFFFFF"/>
            <w:vAlign w:val="center"/>
            <w:hideMark/>
          </w:tcPr>
          <w:p w14:paraId="2A320105"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EC human papillomavirus immunization – proxied using coverage of human papillomavirus vaccination.</w:t>
            </w:r>
          </w:p>
        </w:tc>
        <w:tc>
          <w:tcPr>
            <w:tcW w:w="471" w:type="pct"/>
            <w:tcBorders>
              <w:top w:val="nil"/>
              <w:left w:val="nil"/>
              <w:bottom w:val="single" w:sz="4" w:space="0" w:color="auto"/>
              <w:right w:val="single" w:sz="4" w:space="0" w:color="auto"/>
            </w:tcBorders>
            <w:shd w:val="clear" w:color="000000" w:fill="FFFFFF"/>
            <w:noWrap/>
            <w:vAlign w:val="center"/>
            <w:hideMark/>
          </w:tcPr>
          <w:p w14:paraId="5B5DEC3D" w14:textId="77777777" w:rsidR="004C19E9" w:rsidRPr="004C19E9" w:rsidRDefault="004C19E9" w:rsidP="004C19E9">
            <w:pPr>
              <w:spacing w:after="0" w:line="240" w:lineRule="auto"/>
              <w:jc w:val="center"/>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Numerator</w:t>
            </w:r>
          </w:p>
        </w:tc>
        <w:tc>
          <w:tcPr>
            <w:tcW w:w="1199" w:type="pct"/>
            <w:tcBorders>
              <w:top w:val="nil"/>
              <w:left w:val="nil"/>
              <w:bottom w:val="single" w:sz="4" w:space="0" w:color="auto"/>
              <w:right w:val="single" w:sz="4" w:space="0" w:color="auto"/>
            </w:tcBorders>
            <w:shd w:val="clear" w:color="000000" w:fill="FFFFFF"/>
            <w:hideMark/>
          </w:tcPr>
          <w:p w14:paraId="3D3CCEAE"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 xml:space="preserve">number of girls receiving the final dose of human papillomavirus vaccine during the calendar year </w:t>
            </w:r>
          </w:p>
        </w:tc>
        <w:tc>
          <w:tcPr>
            <w:tcW w:w="733" w:type="pct"/>
            <w:gridSpan w:val="2"/>
            <w:tcBorders>
              <w:top w:val="nil"/>
              <w:left w:val="nil"/>
              <w:bottom w:val="single" w:sz="4" w:space="0" w:color="auto"/>
              <w:right w:val="single" w:sz="4" w:space="0" w:color="auto"/>
            </w:tcBorders>
            <w:shd w:val="clear" w:color="000000" w:fill="FFFFFF"/>
            <w:hideMark/>
          </w:tcPr>
          <w:p w14:paraId="60D1BFFA" w14:textId="1A68C9C9" w:rsidR="004C19E9" w:rsidRPr="004C19E9" w:rsidRDefault="00450F4F" w:rsidP="004C19E9">
            <w:pPr>
              <w:spacing w:after="0" w:line="240" w:lineRule="auto"/>
              <w:rPr>
                <w:rFonts w:ascii="Calibri" w:eastAsia="Times New Roman" w:hAnsi="Calibri" w:cs="Calibri"/>
                <w:color w:val="000000"/>
                <w:sz w:val="20"/>
                <w:szCs w:val="20"/>
                <w:lang w:val="en-US" w:eastAsia="en-US"/>
              </w:rPr>
            </w:pPr>
            <w:r>
              <w:rPr>
                <w:rFonts w:ascii="Calibri" w:eastAsia="Times New Roman" w:hAnsi="Calibri" w:cs="Calibri"/>
                <w:color w:val="000000"/>
                <w:sz w:val="20"/>
                <w:szCs w:val="20"/>
                <w:lang w:val="en-US" w:eastAsia="en-US"/>
              </w:rPr>
              <w:t xml:space="preserve">Population-based </w:t>
            </w:r>
            <w:r w:rsidR="004C19E9" w:rsidRPr="004C19E9">
              <w:rPr>
                <w:rFonts w:ascii="Calibri" w:eastAsia="Times New Roman" w:hAnsi="Calibri" w:cs="Calibri"/>
                <w:color w:val="000000"/>
                <w:sz w:val="20"/>
                <w:szCs w:val="20"/>
                <w:lang w:val="en-US" w:eastAsia="en-US"/>
              </w:rPr>
              <w:t>surveys</w:t>
            </w:r>
          </w:p>
        </w:tc>
        <w:tc>
          <w:tcPr>
            <w:tcW w:w="364" w:type="pct"/>
            <w:vMerge w:val="restart"/>
            <w:tcBorders>
              <w:top w:val="nil"/>
              <w:left w:val="single" w:sz="4" w:space="0" w:color="auto"/>
              <w:bottom w:val="single" w:sz="4" w:space="0" w:color="auto"/>
              <w:right w:val="single" w:sz="4" w:space="0" w:color="auto"/>
            </w:tcBorders>
            <w:shd w:val="clear" w:color="000000" w:fill="FFFFFF"/>
            <w:vAlign w:val="center"/>
            <w:hideMark/>
          </w:tcPr>
          <w:p w14:paraId="69BEC0B2" w14:textId="77777777" w:rsidR="004C19E9" w:rsidRPr="004C19E9" w:rsidRDefault="004C19E9" w:rsidP="004C19E9">
            <w:pPr>
              <w:spacing w:after="0" w:line="240" w:lineRule="auto"/>
              <w:jc w:val="center"/>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45***</w:t>
            </w:r>
          </w:p>
        </w:tc>
        <w:tc>
          <w:tcPr>
            <w:tcW w:w="300" w:type="pct"/>
            <w:vMerge w:val="restart"/>
            <w:tcBorders>
              <w:top w:val="nil"/>
              <w:left w:val="single" w:sz="4" w:space="0" w:color="auto"/>
              <w:bottom w:val="single" w:sz="4" w:space="0" w:color="auto"/>
              <w:right w:val="single" w:sz="4" w:space="0" w:color="auto"/>
            </w:tcBorders>
            <w:shd w:val="clear" w:color="000000" w:fill="FFFFFF"/>
            <w:vAlign w:val="center"/>
            <w:hideMark/>
          </w:tcPr>
          <w:p w14:paraId="55F35590" w14:textId="77777777" w:rsidR="004C19E9" w:rsidRPr="004C19E9" w:rsidRDefault="004C19E9" w:rsidP="004C19E9">
            <w:pPr>
              <w:spacing w:after="0" w:line="240" w:lineRule="auto"/>
              <w:jc w:val="center"/>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Yes</w:t>
            </w:r>
          </w:p>
        </w:tc>
        <w:tc>
          <w:tcPr>
            <w:tcW w:w="350" w:type="pct"/>
            <w:vMerge w:val="restart"/>
            <w:tcBorders>
              <w:top w:val="nil"/>
              <w:left w:val="single" w:sz="4" w:space="0" w:color="auto"/>
              <w:bottom w:val="single" w:sz="4" w:space="0" w:color="auto"/>
              <w:right w:val="single" w:sz="4" w:space="0" w:color="auto"/>
            </w:tcBorders>
            <w:shd w:val="clear" w:color="000000" w:fill="FFFFFF"/>
            <w:vAlign w:val="center"/>
            <w:hideMark/>
          </w:tcPr>
          <w:p w14:paraId="73265A8A" w14:textId="77777777" w:rsidR="004C19E9" w:rsidRPr="004C19E9" w:rsidRDefault="004C19E9" w:rsidP="004C19E9">
            <w:pPr>
              <w:spacing w:after="0" w:line="240" w:lineRule="auto"/>
              <w:jc w:val="center"/>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Yes</w:t>
            </w:r>
          </w:p>
        </w:tc>
        <w:tc>
          <w:tcPr>
            <w:tcW w:w="296" w:type="pct"/>
            <w:vMerge w:val="restart"/>
            <w:tcBorders>
              <w:top w:val="nil"/>
              <w:left w:val="single" w:sz="4" w:space="0" w:color="auto"/>
              <w:bottom w:val="single" w:sz="4" w:space="0" w:color="auto"/>
              <w:right w:val="single" w:sz="4" w:space="0" w:color="auto"/>
            </w:tcBorders>
            <w:shd w:val="clear" w:color="000000" w:fill="FFFFFF"/>
            <w:vAlign w:val="center"/>
            <w:hideMark/>
          </w:tcPr>
          <w:p w14:paraId="216C492F" w14:textId="77777777" w:rsidR="004C19E9" w:rsidRPr="004C19E9" w:rsidRDefault="004C19E9" w:rsidP="004C19E9">
            <w:pPr>
              <w:spacing w:after="0" w:line="240" w:lineRule="auto"/>
              <w:jc w:val="center"/>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3.b.1</w:t>
            </w:r>
          </w:p>
        </w:tc>
      </w:tr>
      <w:tr w:rsidR="001166FA" w:rsidRPr="004C19E9" w14:paraId="100AECA1" w14:textId="77777777" w:rsidTr="001166FA">
        <w:trPr>
          <w:trHeight w:val="600"/>
        </w:trPr>
        <w:tc>
          <w:tcPr>
            <w:tcW w:w="145" w:type="pct"/>
            <w:vMerge/>
            <w:tcBorders>
              <w:top w:val="nil"/>
              <w:left w:val="single" w:sz="4" w:space="0" w:color="auto"/>
              <w:bottom w:val="single" w:sz="4" w:space="0" w:color="auto"/>
              <w:right w:val="single" w:sz="4" w:space="0" w:color="auto"/>
            </w:tcBorders>
            <w:vAlign w:val="center"/>
            <w:hideMark/>
          </w:tcPr>
          <w:p w14:paraId="0A3D9DED" w14:textId="77777777" w:rsidR="004C19E9" w:rsidRPr="004C19E9" w:rsidRDefault="004C19E9" w:rsidP="004C19E9">
            <w:pPr>
              <w:spacing w:after="0" w:line="240" w:lineRule="auto"/>
              <w:rPr>
                <w:rFonts w:ascii="Calibri" w:eastAsia="Times New Roman" w:hAnsi="Calibri" w:cs="Calibri"/>
                <w:b/>
                <w:bCs/>
                <w:color w:val="000000"/>
                <w:sz w:val="20"/>
                <w:szCs w:val="20"/>
                <w:lang w:val="en-US" w:eastAsia="en-US"/>
              </w:rPr>
            </w:pPr>
          </w:p>
        </w:tc>
        <w:tc>
          <w:tcPr>
            <w:tcW w:w="1142" w:type="pct"/>
            <w:vMerge/>
            <w:tcBorders>
              <w:top w:val="nil"/>
              <w:left w:val="single" w:sz="4" w:space="0" w:color="auto"/>
              <w:bottom w:val="single" w:sz="4" w:space="0" w:color="auto"/>
              <w:right w:val="single" w:sz="4" w:space="0" w:color="auto"/>
            </w:tcBorders>
            <w:vAlign w:val="center"/>
            <w:hideMark/>
          </w:tcPr>
          <w:p w14:paraId="78E05267"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p>
        </w:tc>
        <w:tc>
          <w:tcPr>
            <w:tcW w:w="471" w:type="pct"/>
            <w:tcBorders>
              <w:top w:val="nil"/>
              <w:left w:val="nil"/>
              <w:bottom w:val="single" w:sz="4" w:space="0" w:color="auto"/>
              <w:right w:val="single" w:sz="4" w:space="0" w:color="auto"/>
            </w:tcBorders>
            <w:shd w:val="clear" w:color="000000" w:fill="FFFFFF"/>
            <w:noWrap/>
            <w:vAlign w:val="center"/>
            <w:hideMark/>
          </w:tcPr>
          <w:p w14:paraId="50C63A4B" w14:textId="77777777" w:rsidR="004C19E9" w:rsidRPr="004C19E9" w:rsidRDefault="004C19E9" w:rsidP="004C19E9">
            <w:pPr>
              <w:spacing w:after="0" w:line="240" w:lineRule="auto"/>
              <w:jc w:val="center"/>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Denominator</w:t>
            </w:r>
          </w:p>
        </w:tc>
        <w:tc>
          <w:tcPr>
            <w:tcW w:w="1199" w:type="pct"/>
            <w:tcBorders>
              <w:top w:val="nil"/>
              <w:left w:val="nil"/>
              <w:bottom w:val="single" w:sz="4" w:space="0" w:color="auto"/>
              <w:right w:val="single" w:sz="4" w:space="0" w:color="auto"/>
            </w:tcBorders>
            <w:shd w:val="clear" w:color="000000" w:fill="FFFFFF"/>
            <w:hideMark/>
          </w:tcPr>
          <w:p w14:paraId="5FB73945"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the number of girls in the cohort, according to the vaccination schedule</w:t>
            </w:r>
          </w:p>
        </w:tc>
        <w:tc>
          <w:tcPr>
            <w:tcW w:w="733" w:type="pct"/>
            <w:gridSpan w:val="2"/>
            <w:tcBorders>
              <w:top w:val="nil"/>
              <w:left w:val="nil"/>
              <w:bottom w:val="single" w:sz="4" w:space="0" w:color="auto"/>
              <w:right w:val="single" w:sz="4" w:space="0" w:color="auto"/>
            </w:tcBorders>
            <w:shd w:val="clear" w:color="000000" w:fill="FFFFFF"/>
            <w:hideMark/>
          </w:tcPr>
          <w:p w14:paraId="131CE6BC" w14:textId="6792D1A1" w:rsidR="004C19E9" w:rsidRPr="004C19E9" w:rsidRDefault="00450F4F" w:rsidP="004C19E9">
            <w:pPr>
              <w:spacing w:after="0" w:line="240" w:lineRule="auto"/>
              <w:rPr>
                <w:rFonts w:ascii="Calibri" w:eastAsia="Times New Roman" w:hAnsi="Calibri" w:cs="Calibri"/>
                <w:color w:val="000000"/>
                <w:sz w:val="20"/>
                <w:szCs w:val="20"/>
                <w:lang w:val="en-US" w:eastAsia="en-US"/>
              </w:rPr>
            </w:pPr>
            <w:r>
              <w:rPr>
                <w:rFonts w:ascii="Calibri" w:eastAsia="Times New Roman" w:hAnsi="Calibri" w:cs="Calibri"/>
                <w:color w:val="000000"/>
                <w:sz w:val="20"/>
                <w:szCs w:val="20"/>
                <w:lang w:val="en-US" w:eastAsia="en-US"/>
              </w:rPr>
              <w:t xml:space="preserve">Population-based </w:t>
            </w:r>
            <w:r w:rsidR="004C19E9" w:rsidRPr="004C19E9">
              <w:rPr>
                <w:rFonts w:ascii="Calibri" w:eastAsia="Times New Roman" w:hAnsi="Calibri" w:cs="Calibri"/>
                <w:color w:val="000000"/>
                <w:sz w:val="20"/>
                <w:szCs w:val="20"/>
                <w:lang w:val="en-US" w:eastAsia="en-US"/>
              </w:rPr>
              <w:t>surveys</w:t>
            </w:r>
          </w:p>
        </w:tc>
        <w:tc>
          <w:tcPr>
            <w:tcW w:w="364" w:type="pct"/>
            <w:vMerge/>
            <w:tcBorders>
              <w:top w:val="nil"/>
              <w:left w:val="single" w:sz="4" w:space="0" w:color="auto"/>
              <w:bottom w:val="single" w:sz="4" w:space="0" w:color="auto"/>
              <w:right w:val="single" w:sz="4" w:space="0" w:color="auto"/>
            </w:tcBorders>
            <w:vAlign w:val="center"/>
            <w:hideMark/>
          </w:tcPr>
          <w:p w14:paraId="56CC6588"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p>
        </w:tc>
        <w:tc>
          <w:tcPr>
            <w:tcW w:w="300" w:type="pct"/>
            <w:vMerge/>
            <w:tcBorders>
              <w:top w:val="nil"/>
              <w:left w:val="single" w:sz="4" w:space="0" w:color="auto"/>
              <w:bottom w:val="single" w:sz="4" w:space="0" w:color="auto"/>
              <w:right w:val="single" w:sz="4" w:space="0" w:color="auto"/>
            </w:tcBorders>
            <w:vAlign w:val="center"/>
            <w:hideMark/>
          </w:tcPr>
          <w:p w14:paraId="7A5FE4D3"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p>
        </w:tc>
        <w:tc>
          <w:tcPr>
            <w:tcW w:w="350" w:type="pct"/>
            <w:vMerge/>
            <w:tcBorders>
              <w:top w:val="nil"/>
              <w:left w:val="single" w:sz="4" w:space="0" w:color="auto"/>
              <w:bottom w:val="single" w:sz="4" w:space="0" w:color="auto"/>
              <w:right w:val="single" w:sz="4" w:space="0" w:color="auto"/>
            </w:tcBorders>
            <w:vAlign w:val="center"/>
            <w:hideMark/>
          </w:tcPr>
          <w:p w14:paraId="4BDA6B5D"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p>
        </w:tc>
        <w:tc>
          <w:tcPr>
            <w:tcW w:w="296" w:type="pct"/>
            <w:vMerge/>
            <w:tcBorders>
              <w:top w:val="nil"/>
              <w:left w:val="single" w:sz="4" w:space="0" w:color="auto"/>
              <w:bottom w:val="single" w:sz="4" w:space="0" w:color="auto"/>
              <w:right w:val="single" w:sz="4" w:space="0" w:color="auto"/>
            </w:tcBorders>
            <w:vAlign w:val="center"/>
            <w:hideMark/>
          </w:tcPr>
          <w:p w14:paraId="15559A3E"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p>
        </w:tc>
      </w:tr>
      <w:tr w:rsidR="001166FA" w:rsidRPr="004C19E9" w14:paraId="065672BF" w14:textId="77777777" w:rsidTr="001166FA">
        <w:trPr>
          <w:trHeight w:val="600"/>
        </w:trPr>
        <w:tc>
          <w:tcPr>
            <w:tcW w:w="145"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0E24A77F" w14:textId="77777777" w:rsidR="004C19E9" w:rsidRPr="004C19E9" w:rsidRDefault="004C19E9" w:rsidP="004C19E9">
            <w:pPr>
              <w:spacing w:after="0" w:line="240" w:lineRule="auto"/>
              <w:jc w:val="center"/>
              <w:rPr>
                <w:rFonts w:ascii="Calibri" w:eastAsia="Times New Roman" w:hAnsi="Calibri" w:cs="Calibri"/>
                <w:b/>
                <w:bCs/>
                <w:color w:val="000000"/>
                <w:sz w:val="20"/>
                <w:szCs w:val="20"/>
                <w:lang w:val="en-US" w:eastAsia="en-US"/>
              </w:rPr>
            </w:pPr>
            <w:r w:rsidRPr="004C19E9">
              <w:rPr>
                <w:rFonts w:ascii="Calibri" w:eastAsia="Times New Roman" w:hAnsi="Calibri" w:cs="Calibri"/>
                <w:b/>
                <w:bCs/>
                <w:color w:val="000000"/>
                <w:sz w:val="20"/>
                <w:szCs w:val="20"/>
                <w:lang w:val="en-US" w:eastAsia="en-US"/>
              </w:rPr>
              <w:t>7</w:t>
            </w:r>
          </w:p>
        </w:tc>
        <w:tc>
          <w:tcPr>
            <w:tcW w:w="1142" w:type="pct"/>
            <w:vMerge w:val="restart"/>
            <w:tcBorders>
              <w:top w:val="nil"/>
              <w:left w:val="single" w:sz="4" w:space="0" w:color="auto"/>
              <w:bottom w:val="single" w:sz="4" w:space="0" w:color="auto"/>
              <w:right w:val="single" w:sz="4" w:space="0" w:color="auto"/>
            </w:tcBorders>
            <w:shd w:val="clear" w:color="000000" w:fill="FFFFFF"/>
            <w:vAlign w:val="center"/>
            <w:hideMark/>
          </w:tcPr>
          <w:p w14:paraId="2F3A5FCC" w14:textId="11D8AD0E" w:rsidR="004C19E9" w:rsidRPr="004C19E9" w:rsidRDefault="004C19E9" w:rsidP="004C19E9">
            <w:pPr>
              <w:spacing w:after="0" w:line="240" w:lineRule="auto"/>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EC elevated blood pressure management – proxied using the fraction of individuals with hypertension reaching treatment targets of &lt;140/90.</w:t>
            </w:r>
          </w:p>
        </w:tc>
        <w:tc>
          <w:tcPr>
            <w:tcW w:w="471" w:type="pct"/>
            <w:tcBorders>
              <w:top w:val="nil"/>
              <w:left w:val="nil"/>
              <w:bottom w:val="single" w:sz="4" w:space="0" w:color="auto"/>
              <w:right w:val="single" w:sz="4" w:space="0" w:color="auto"/>
            </w:tcBorders>
            <w:shd w:val="clear" w:color="000000" w:fill="FFFFFF"/>
            <w:noWrap/>
            <w:vAlign w:val="center"/>
            <w:hideMark/>
          </w:tcPr>
          <w:p w14:paraId="6D79D279" w14:textId="77777777" w:rsidR="004C19E9" w:rsidRPr="004C19E9" w:rsidRDefault="004C19E9" w:rsidP="004C19E9">
            <w:pPr>
              <w:spacing w:after="0" w:line="240" w:lineRule="auto"/>
              <w:jc w:val="center"/>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Numerator</w:t>
            </w:r>
          </w:p>
        </w:tc>
        <w:tc>
          <w:tcPr>
            <w:tcW w:w="1199" w:type="pct"/>
            <w:tcBorders>
              <w:top w:val="nil"/>
              <w:left w:val="nil"/>
              <w:bottom w:val="single" w:sz="4" w:space="0" w:color="auto"/>
              <w:right w:val="single" w:sz="4" w:space="0" w:color="auto"/>
            </w:tcBorders>
            <w:shd w:val="clear" w:color="000000" w:fill="FFFFFF"/>
            <w:hideMark/>
          </w:tcPr>
          <w:p w14:paraId="758C6317"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 xml:space="preserve">number of people receiving treatment with blood pressure less than 140/90 </w:t>
            </w:r>
          </w:p>
        </w:tc>
        <w:tc>
          <w:tcPr>
            <w:tcW w:w="733" w:type="pct"/>
            <w:gridSpan w:val="2"/>
            <w:tcBorders>
              <w:top w:val="nil"/>
              <w:left w:val="nil"/>
              <w:bottom w:val="single" w:sz="4" w:space="0" w:color="auto"/>
              <w:right w:val="single" w:sz="4" w:space="0" w:color="auto"/>
            </w:tcBorders>
            <w:shd w:val="clear" w:color="000000" w:fill="FFFFFF"/>
            <w:hideMark/>
          </w:tcPr>
          <w:p w14:paraId="25C2625E" w14:textId="110612DB" w:rsidR="004C19E9" w:rsidRPr="004C19E9" w:rsidRDefault="004C19E9" w:rsidP="004C19E9">
            <w:pPr>
              <w:spacing w:after="0" w:line="240" w:lineRule="auto"/>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Population-based surveys</w:t>
            </w:r>
          </w:p>
        </w:tc>
        <w:tc>
          <w:tcPr>
            <w:tcW w:w="364" w:type="pct"/>
            <w:vMerge w:val="restart"/>
            <w:tcBorders>
              <w:top w:val="nil"/>
              <w:left w:val="single" w:sz="4" w:space="0" w:color="auto"/>
              <w:bottom w:val="single" w:sz="4" w:space="0" w:color="auto"/>
              <w:right w:val="single" w:sz="4" w:space="0" w:color="auto"/>
            </w:tcBorders>
            <w:shd w:val="clear" w:color="000000" w:fill="FFFFFF"/>
            <w:vAlign w:val="center"/>
            <w:hideMark/>
          </w:tcPr>
          <w:p w14:paraId="2D44711D" w14:textId="77777777" w:rsidR="004C19E9" w:rsidRPr="004C19E9" w:rsidRDefault="004C19E9" w:rsidP="004C19E9">
            <w:pPr>
              <w:spacing w:after="0" w:line="240" w:lineRule="auto"/>
              <w:jc w:val="center"/>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87</w:t>
            </w:r>
          </w:p>
        </w:tc>
        <w:tc>
          <w:tcPr>
            <w:tcW w:w="300" w:type="pct"/>
            <w:vMerge w:val="restart"/>
            <w:tcBorders>
              <w:top w:val="nil"/>
              <w:left w:val="single" w:sz="4" w:space="0" w:color="auto"/>
              <w:bottom w:val="single" w:sz="4" w:space="0" w:color="auto"/>
              <w:right w:val="single" w:sz="4" w:space="0" w:color="auto"/>
            </w:tcBorders>
            <w:shd w:val="clear" w:color="000000" w:fill="FFFFFF"/>
            <w:vAlign w:val="center"/>
            <w:hideMark/>
          </w:tcPr>
          <w:p w14:paraId="35B42B85" w14:textId="77777777" w:rsidR="004C19E9" w:rsidRPr="004C19E9" w:rsidRDefault="004C19E9" w:rsidP="004C19E9">
            <w:pPr>
              <w:spacing w:after="0" w:line="240" w:lineRule="auto"/>
              <w:jc w:val="center"/>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No</w:t>
            </w:r>
          </w:p>
        </w:tc>
        <w:tc>
          <w:tcPr>
            <w:tcW w:w="350" w:type="pct"/>
            <w:vMerge w:val="restart"/>
            <w:tcBorders>
              <w:top w:val="nil"/>
              <w:left w:val="single" w:sz="4" w:space="0" w:color="auto"/>
              <w:bottom w:val="single" w:sz="4" w:space="0" w:color="auto"/>
              <w:right w:val="single" w:sz="4" w:space="0" w:color="auto"/>
            </w:tcBorders>
            <w:shd w:val="clear" w:color="000000" w:fill="FFFFFF"/>
            <w:vAlign w:val="center"/>
            <w:hideMark/>
          </w:tcPr>
          <w:p w14:paraId="5BF659D1" w14:textId="77777777" w:rsidR="004C19E9" w:rsidRPr="004C19E9" w:rsidRDefault="004C19E9" w:rsidP="004C19E9">
            <w:pPr>
              <w:spacing w:after="0" w:line="240" w:lineRule="auto"/>
              <w:jc w:val="center"/>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Yes</w:t>
            </w:r>
          </w:p>
        </w:tc>
        <w:tc>
          <w:tcPr>
            <w:tcW w:w="296" w:type="pct"/>
            <w:vMerge w:val="restart"/>
            <w:tcBorders>
              <w:top w:val="nil"/>
              <w:left w:val="single" w:sz="4" w:space="0" w:color="auto"/>
              <w:bottom w:val="single" w:sz="4" w:space="0" w:color="auto"/>
              <w:right w:val="single" w:sz="4" w:space="0" w:color="auto"/>
            </w:tcBorders>
            <w:shd w:val="clear" w:color="000000" w:fill="FFFFFF"/>
            <w:vAlign w:val="center"/>
            <w:hideMark/>
          </w:tcPr>
          <w:p w14:paraId="14E0923A" w14:textId="77777777" w:rsidR="004C19E9" w:rsidRPr="004C19E9" w:rsidRDefault="004C19E9" w:rsidP="004C19E9">
            <w:pPr>
              <w:spacing w:after="0" w:line="240" w:lineRule="auto"/>
              <w:jc w:val="center"/>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 </w:t>
            </w:r>
          </w:p>
        </w:tc>
      </w:tr>
      <w:tr w:rsidR="001166FA" w:rsidRPr="004C19E9" w14:paraId="4B60FE9A" w14:textId="77777777" w:rsidTr="001166FA">
        <w:trPr>
          <w:trHeight w:val="1020"/>
        </w:trPr>
        <w:tc>
          <w:tcPr>
            <w:tcW w:w="145" w:type="pct"/>
            <w:vMerge/>
            <w:tcBorders>
              <w:top w:val="nil"/>
              <w:left w:val="single" w:sz="4" w:space="0" w:color="auto"/>
              <w:bottom w:val="single" w:sz="4" w:space="0" w:color="auto"/>
              <w:right w:val="single" w:sz="4" w:space="0" w:color="auto"/>
            </w:tcBorders>
            <w:vAlign w:val="center"/>
            <w:hideMark/>
          </w:tcPr>
          <w:p w14:paraId="3D7CBB4A" w14:textId="77777777" w:rsidR="004C19E9" w:rsidRPr="004C19E9" w:rsidRDefault="004C19E9" w:rsidP="004C19E9">
            <w:pPr>
              <w:spacing w:after="0" w:line="240" w:lineRule="auto"/>
              <w:rPr>
                <w:rFonts w:ascii="Calibri" w:eastAsia="Times New Roman" w:hAnsi="Calibri" w:cs="Calibri"/>
                <w:b/>
                <w:bCs/>
                <w:color w:val="000000"/>
                <w:sz w:val="20"/>
                <w:szCs w:val="20"/>
                <w:lang w:val="en-US" w:eastAsia="en-US"/>
              </w:rPr>
            </w:pPr>
          </w:p>
        </w:tc>
        <w:tc>
          <w:tcPr>
            <w:tcW w:w="1142" w:type="pct"/>
            <w:vMerge/>
            <w:tcBorders>
              <w:top w:val="nil"/>
              <w:left w:val="single" w:sz="4" w:space="0" w:color="auto"/>
              <w:bottom w:val="single" w:sz="4" w:space="0" w:color="auto"/>
              <w:right w:val="single" w:sz="4" w:space="0" w:color="auto"/>
            </w:tcBorders>
            <w:vAlign w:val="center"/>
            <w:hideMark/>
          </w:tcPr>
          <w:p w14:paraId="7529DEAB"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p>
        </w:tc>
        <w:tc>
          <w:tcPr>
            <w:tcW w:w="471" w:type="pct"/>
            <w:tcBorders>
              <w:top w:val="nil"/>
              <w:left w:val="nil"/>
              <w:bottom w:val="single" w:sz="4" w:space="0" w:color="auto"/>
              <w:right w:val="single" w:sz="4" w:space="0" w:color="auto"/>
            </w:tcBorders>
            <w:shd w:val="clear" w:color="000000" w:fill="FFFFFF"/>
            <w:noWrap/>
            <w:vAlign w:val="center"/>
            <w:hideMark/>
          </w:tcPr>
          <w:p w14:paraId="62504FB0" w14:textId="77777777" w:rsidR="004C19E9" w:rsidRPr="004C19E9" w:rsidRDefault="004C19E9" w:rsidP="004C19E9">
            <w:pPr>
              <w:spacing w:after="0" w:line="240" w:lineRule="auto"/>
              <w:jc w:val="center"/>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Denominator</w:t>
            </w:r>
          </w:p>
        </w:tc>
        <w:tc>
          <w:tcPr>
            <w:tcW w:w="1199" w:type="pct"/>
            <w:tcBorders>
              <w:top w:val="nil"/>
              <w:left w:val="nil"/>
              <w:bottom w:val="single" w:sz="4" w:space="0" w:color="auto"/>
              <w:right w:val="single" w:sz="4" w:space="0" w:color="auto"/>
            </w:tcBorders>
            <w:shd w:val="clear" w:color="000000" w:fill="FFFFFF"/>
            <w:hideMark/>
          </w:tcPr>
          <w:p w14:paraId="3E0DFFA9"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number of people with hypertension (blood pressure ≥140/90) and no treatment + number of people with a diagnosis of hypertension receiving treatment</w:t>
            </w:r>
          </w:p>
        </w:tc>
        <w:tc>
          <w:tcPr>
            <w:tcW w:w="733" w:type="pct"/>
            <w:gridSpan w:val="2"/>
            <w:tcBorders>
              <w:top w:val="nil"/>
              <w:left w:val="nil"/>
              <w:bottom w:val="single" w:sz="4" w:space="0" w:color="auto"/>
              <w:right w:val="single" w:sz="4" w:space="0" w:color="auto"/>
            </w:tcBorders>
            <w:shd w:val="clear" w:color="000000" w:fill="FFFFFF"/>
            <w:hideMark/>
          </w:tcPr>
          <w:p w14:paraId="3A15BF60" w14:textId="06D8F61D" w:rsidR="004C19E9" w:rsidRPr="004C19E9" w:rsidRDefault="004C19E9" w:rsidP="004C19E9">
            <w:pPr>
              <w:spacing w:after="0" w:line="240" w:lineRule="auto"/>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Population-based surveys</w:t>
            </w:r>
          </w:p>
        </w:tc>
        <w:tc>
          <w:tcPr>
            <w:tcW w:w="364" w:type="pct"/>
            <w:vMerge/>
            <w:tcBorders>
              <w:top w:val="nil"/>
              <w:left w:val="single" w:sz="4" w:space="0" w:color="auto"/>
              <w:bottom w:val="single" w:sz="4" w:space="0" w:color="auto"/>
              <w:right w:val="single" w:sz="4" w:space="0" w:color="auto"/>
            </w:tcBorders>
            <w:vAlign w:val="center"/>
            <w:hideMark/>
          </w:tcPr>
          <w:p w14:paraId="6F5B9C91"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p>
        </w:tc>
        <w:tc>
          <w:tcPr>
            <w:tcW w:w="300" w:type="pct"/>
            <w:vMerge/>
            <w:tcBorders>
              <w:top w:val="nil"/>
              <w:left w:val="single" w:sz="4" w:space="0" w:color="auto"/>
              <w:bottom w:val="single" w:sz="4" w:space="0" w:color="auto"/>
              <w:right w:val="single" w:sz="4" w:space="0" w:color="auto"/>
            </w:tcBorders>
            <w:vAlign w:val="center"/>
            <w:hideMark/>
          </w:tcPr>
          <w:p w14:paraId="28924696"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p>
        </w:tc>
        <w:tc>
          <w:tcPr>
            <w:tcW w:w="350" w:type="pct"/>
            <w:vMerge/>
            <w:tcBorders>
              <w:top w:val="nil"/>
              <w:left w:val="single" w:sz="4" w:space="0" w:color="auto"/>
              <w:bottom w:val="single" w:sz="4" w:space="0" w:color="auto"/>
              <w:right w:val="single" w:sz="4" w:space="0" w:color="auto"/>
            </w:tcBorders>
            <w:vAlign w:val="center"/>
            <w:hideMark/>
          </w:tcPr>
          <w:p w14:paraId="0EAAAF27"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p>
        </w:tc>
        <w:tc>
          <w:tcPr>
            <w:tcW w:w="296" w:type="pct"/>
            <w:vMerge/>
            <w:tcBorders>
              <w:top w:val="nil"/>
              <w:left w:val="single" w:sz="4" w:space="0" w:color="auto"/>
              <w:bottom w:val="single" w:sz="4" w:space="0" w:color="auto"/>
              <w:right w:val="single" w:sz="4" w:space="0" w:color="auto"/>
            </w:tcBorders>
            <w:vAlign w:val="center"/>
            <w:hideMark/>
          </w:tcPr>
          <w:p w14:paraId="450E29A8"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p>
        </w:tc>
      </w:tr>
      <w:tr w:rsidR="001166FA" w:rsidRPr="004C19E9" w14:paraId="0821F20B" w14:textId="77777777" w:rsidTr="001166FA">
        <w:trPr>
          <w:trHeight w:val="600"/>
        </w:trPr>
        <w:tc>
          <w:tcPr>
            <w:tcW w:w="145"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63143B5A" w14:textId="77777777" w:rsidR="004C19E9" w:rsidRPr="004C19E9" w:rsidRDefault="004C19E9" w:rsidP="004C19E9">
            <w:pPr>
              <w:spacing w:after="0" w:line="240" w:lineRule="auto"/>
              <w:jc w:val="center"/>
              <w:rPr>
                <w:rFonts w:ascii="Calibri" w:eastAsia="Times New Roman" w:hAnsi="Calibri" w:cs="Calibri"/>
                <w:b/>
                <w:bCs/>
                <w:color w:val="000000"/>
                <w:sz w:val="20"/>
                <w:szCs w:val="20"/>
                <w:lang w:val="en-US" w:eastAsia="en-US"/>
              </w:rPr>
            </w:pPr>
            <w:r w:rsidRPr="004C19E9">
              <w:rPr>
                <w:rFonts w:ascii="Calibri" w:eastAsia="Times New Roman" w:hAnsi="Calibri" w:cs="Calibri"/>
                <w:b/>
                <w:bCs/>
                <w:color w:val="000000"/>
                <w:sz w:val="20"/>
                <w:szCs w:val="20"/>
                <w:lang w:val="en-US" w:eastAsia="en-US"/>
              </w:rPr>
              <w:t>8</w:t>
            </w:r>
          </w:p>
        </w:tc>
        <w:tc>
          <w:tcPr>
            <w:tcW w:w="1142" w:type="pct"/>
            <w:vMerge w:val="restart"/>
            <w:tcBorders>
              <w:top w:val="nil"/>
              <w:left w:val="single" w:sz="4" w:space="0" w:color="auto"/>
              <w:bottom w:val="single" w:sz="4" w:space="0" w:color="auto"/>
              <w:right w:val="single" w:sz="4" w:space="0" w:color="auto"/>
            </w:tcBorders>
            <w:shd w:val="clear" w:color="000000" w:fill="FFFFFF"/>
            <w:vAlign w:val="center"/>
            <w:hideMark/>
          </w:tcPr>
          <w:p w14:paraId="1A35CAA2" w14:textId="3782D4F0" w:rsidR="004C19E9" w:rsidRPr="004C19E9" w:rsidRDefault="004C19E9" w:rsidP="004C19E9">
            <w:pPr>
              <w:spacing w:after="0" w:line="240" w:lineRule="auto"/>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EC diabetes: elevated blood glucose management – proxied using the fraction of individuals with elevated blood sugar reaching the treatment target of fasting plasma glucose levels less than 126 mg/dL.</w:t>
            </w:r>
          </w:p>
        </w:tc>
        <w:tc>
          <w:tcPr>
            <w:tcW w:w="471" w:type="pct"/>
            <w:tcBorders>
              <w:top w:val="nil"/>
              <w:left w:val="nil"/>
              <w:bottom w:val="single" w:sz="4" w:space="0" w:color="auto"/>
              <w:right w:val="single" w:sz="4" w:space="0" w:color="auto"/>
            </w:tcBorders>
            <w:shd w:val="clear" w:color="000000" w:fill="FFFFFF"/>
            <w:noWrap/>
            <w:vAlign w:val="center"/>
            <w:hideMark/>
          </w:tcPr>
          <w:p w14:paraId="1CAB61A6" w14:textId="77777777" w:rsidR="004C19E9" w:rsidRPr="004C19E9" w:rsidRDefault="004C19E9" w:rsidP="004C19E9">
            <w:pPr>
              <w:spacing w:after="0" w:line="240" w:lineRule="auto"/>
              <w:jc w:val="center"/>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Numerator</w:t>
            </w:r>
          </w:p>
        </w:tc>
        <w:tc>
          <w:tcPr>
            <w:tcW w:w="1199" w:type="pct"/>
            <w:tcBorders>
              <w:top w:val="nil"/>
              <w:left w:val="nil"/>
              <w:bottom w:val="single" w:sz="4" w:space="0" w:color="auto"/>
              <w:right w:val="single" w:sz="4" w:space="0" w:color="auto"/>
            </w:tcBorders>
            <w:shd w:val="clear" w:color="000000" w:fill="FFFFFF"/>
            <w:hideMark/>
          </w:tcPr>
          <w:p w14:paraId="75CDEB01" w14:textId="53614BB0" w:rsidR="004C19E9" w:rsidRPr="004C19E9" w:rsidRDefault="004C19E9" w:rsidP="004C19E9">
            <w:pPr>
              <w:spacing w:after="0" w:line="240" w:lineRule="auto"/>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number of people with</w:t>
            </w:r>
            <w:r w:rsidR="00BD691D">
              <w:rPr>
                <w:rFonts w:ascii="Calibri" w:eastAsia="Times New Roman" w:hAnsi="Calibri" w:cs="Calibri"/>
                <w:color w:val="000000"/>
                <w:sz w:val="20"/>
                <w:szCs w:val="20"/>
                <w:lang w:val="en-US" w:eastAsia="en-US"/>
              </w:rPr>
              <w:t xml:space="preserve"> a diagnosis of diabetes with</w:t>
            </w:r>
            <w:r w:rsidRPr="004C19E9">
              <w:rPr>
                <w:rFonts w:ascii="Calibri" w:eastAsia="Times New Roman" w:hAnsi="Calibri" w:cs="Calibri"/>
                <w:color w:val="000000"/>
                <w:sz w:val="20"/>
                <w:szCs w:val="20"/>
                <w:lang w:val="en-US" w:eastAsia="en-US"/>
              </w:rPr>
              <w:t xml:space="preserve"> fasting plasma glucose levels less than 126 mg/dL receiving treatment</w:t>
            </w:r>
          </w:p>
        </w:tc>
        <w:tc>
          <w:tcPr>
            <w:tcW w:w="733" w:type="pct"/>
            <w:gridSpan w:val="2"/>
            <w:tcBorders>
              <w:top w:val="nil"/>
              <w:left w:val="nil"/>
              <w:bottom w:val="single" w:sz="4" w:space="0" w:color="auto"/>
              <w:right w:val="single" w:sz="4" w:space="0" w:color="auto"/>
            </w:tcBorders>
            <w:shd w:val="clear" w:color="000000" w:fill="FFFFFF"/>
            <w:hideMark/>
          </w:tcPr>
          <w:p w14:paraId="77BD6D10" w14:textId="0F6E0D3B" w:rsidR="004C19E9" w:rsidRPr="004C19E9" w:rsidRDefault="004C19E9" w:rsidP="004C19E9">
            <w:pPr>
              <w:spacing w:after="0" w:line="240" w:lineRule="auto"/>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Population-based surveys</w:t>
            </w:r>
          </w:p>
        </w:tc>
        <w:tc>
          <w:tcPr>
            <w:tcW w:w="364" w:type="pct"/>
            <w:vMerge w:val="restart"/>
            <w:tcBorders>
              <w:top w:val="nil"/>
              <w:left w:val="single" w:sz="4" w:space="0" w:color="auto"/>
              <w:bottom w:val="single" w:sz="4" w:space="0" w:color="auto"/>
              <w:right w:val="single" w:sz="4" w:space="0" w:color="auto"/>
            </w:tcBorders>
            <w:shd w:val="clear" w:color="000000" w:fill="FFFFFF"/>
            <w:vAlign w:val="center"/>
            <w:hideMark/>
          </w:tcPr>
          <w:p w14:paraId="390DE7A3" w14:textId="77777777" w:rsidR="004C19E9" w:rsidRPr="004C19E9" w:rsidRDefault="004C19E9" w:rsidP="004C19E9">
            <w:pPr>
              <w:spacing w:after="0" w:line="240" w:lineRule="auto"/>
              <w:jc w:val="center"/>
              <w:rPr>
                <w:rFonts w:ascii="Calibri" w:eastAsia="Times New Roman" w:hAnsi="Calibri" w:cs="Calibri"/>
                <w:sz w:val="20"/>
                <w:szCs w:val="20"/>
                <w:lang w:val="en-US" w:eastAsia="en-US"/>
              </w:rPr>
            </w:pPr>
            <w:r w:rsidRPr="004C19E9">
              <w:rPr>
                <w:rFonts w:ascii="Calibri" w:eastAsia="Times New Roman" w:hAnsi="Calibri" w:cs="Calibri"/>
                <w:sz w:val="20"/>
                <w:szCs w:val="20"/>
                <w:lang w:val="en-US" w:eastAsia="en-US"/>
              </w:rPr>
              <w:t>71</w:t>
            </w:r>
          </w:p>
        </w:tc>
        <w:tc>
          <w:tcPr>
            <w:tcW w:w="300" w:type="pct"/>
            <w:vMerge w:val="restart"/>
            <w:tcBorders>
              <w:top w:val="nil"/>
              <w:left w:val="single" w:sz="4" w:space="0" w:color="auto"/>
              <w:bottom w:val="single" w:sz="4" w:space="0" w:color="auto"/>
              <w:right w:val="single" w:sz="4" w:space="0" w:color="auto"/>
            </w:tcBorders>
            <w:shd w:val="clear" w:color="000000" w:fill="FFFFFF"/>
            <w:vAlign w:val="center"/>
            <w:hideMark/>
          </w:tcPr>
          <w:p w14:paraId="657C368C" w14:textId="77777777" w:rsidR="004C19E9" w:rsidRPr="004C19E9" w:rsidRDefault="004C19E9" w:rsidP="004C19E9">
            <w:pPr>
              <w:spacing w:after="0" w:line="240" w:lineRule="auto"/>
              <w:jc w:val="center"/>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No</w:t>
            </w:r>
          </w:p>
        </w:tc>
        <w:tc>
          <w:tcPr>
            <w:tcW w:w="350" w:type="pct"/>
            <w:vMerge w:val="restart"/>
            <w:tcBorders>
              <w:top w:val="nil"/>
              <w:left w:val="single" w:sz="4" w:space="0" w:color="auto"/>
              <w:bottom w:val="single" w:sz="4" w:space="0" w:color="auto"/>
              <w:right w:val="single" w:sz="4" w:space="0" w:color="auto"/>
            </w:tcBorders>
            <w:shd w:val="clear" w:color="000000" w:fill="FFFFFF"/>
            <w:vAlign w:val="center"/>
            <w:hideMark/>
          </w:tcPr>
          <w:p w14:paraId="69458CFF" w14:textId="77777777" w:rsidR="004C19E9" w:rsidRPr="004C19E9" w:rsidRDefault="004C19E9" w:rsidP="004C19E9">
            <w:pPr>
              <w:spacing w:after="0" w:line="240" w:lineRule="auto"/>
              <w:jc w:val="center"/>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Yes</w:t>
            </w:r>
          </w:p>
        </w:tc>
        <w:tc>
          <w:tcPr>
            <w:tcW w:w="296" w:type="pct"/>
            <w:vMerge w:val="restart"/>
            <w:tcBorders>
              <w:top w:val="nil"/>
              <w:left w:val="single" w:sz="4" w:space="0" w:color="auto"/>
              <w:bottom w:val="single" w:sz="4" w:space="0" w:color="auto"/>
              <w:right w:val="single" w:sz="4" w:space="0" w:color="auto"/>
            </w:tcBorders>
            <w:shd w:val="clear" w:color="000000" w:fill="FFFFFF"/>
            <w:vAlign w:val="center"/>
            <w:hideMark/>
          </w:tcPr>
          <w:p w14:paraId="2C3F014F" w14:textId="77777777" w:rsidR="004C19E9" w:rsidRPr="004C19E9" w:rsidRDefault="004C19E9" w:rsidP="004C19E9">
            <w:pPr>
              <w:spacing w:after="0" w:line="240" w:lineRule="auto"/>
              <w:jc w:val="center"/>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3.4.1</w:t>
            </w:r>
          </w:p>
        </w:tc>
      </w:tr>
      <w:tr w:rsidR="001166FA" w:rsidRPr="004C19E9" w14:paraId="02C83D30" w14:textId="77777777" w:rsidTr="001166FA">
        <w:trPr>
          <w:trHeight w:val="900"/>
        </w:trPr>
        <w:tc>
          <w:tcPr>
            <w:tcW w:w="145" w:type="pct"/>
            <w:vMerge/>
            <w:tcBorders>
              <w:top w:val="nil"/>
              <w:left w:val="single" w:sz="4" w:space="0" w:color="auto"/>
              <w:bottom w:val="single" w:sz="4" w:space="0" w:color="auto"/>
              <w:right w:val="single" w:sz="4" w:space="0" w:color="auto"/>
            </w:tcBorders>
            <w:vAlign w:val="center"/>
            <w:hideMark/>
          </w:tcPr>
          <w:p w14:paraId="194F4845" w14:textId="77777777" w:rsidR="004C19E9" w:rsidRPr="004C19E9" w:rsidRDefault="004C19E9" w:rsidP="004C19E9">
            <w:pPr>
              <w:spacing w:after="0" w:line="240" w:lineRule="auto"/>
              <w:rPr>
                <w:rFonts w:ascii="Calibri" w:eastAsia="Times New Roman" w:hAnsi="Calibri" w:cs="Calibri"/>
                <w:b/>
                <w:bCs/>
                <w:color w:val="000000"/>
                <w:sz w:val="20"/>
                <w:szCs w:val="20"/>
                <w:lang w:val="en-US" w:eastAsia="en-US"/>
              </w:rPr>
            </w:pPr>
          </w:p>
        </w:tc>
        <w:tc>
          <w:tcPr>
            <w:tcW w:w="1142" w:type="pct"/>
            <w:vMerge/>
            <w:tcBorders>
              <w:top w:val="nil"/>
              <w:left w:val="single" w:sz="4" w:space="0" w:color="auto"/>
              <w:bottom w:val="single" w:sz="4" w:space="0" w:color="auto"/>
              <w:right w:val="single" w:sz="4" w:space="0" w:color="auto"/>
            </w:tcBorders>
            <w:vAlign w:val="center"/>
            <w:hideMark/>
          </w:tcPr>
          <w:p w14:paraId="1194425B"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p>
        </w:tc>
        <w:tc>
          <w:tcPr>
            <w:tcW w:w="471" w:type="pct"/>
            <w:tcBorders>
              <w:top w:val="nil"/>
              <w:left w:val="nil"/>
              <w:bottom w:val="single" w:sz="4" w:space="0" w:color="auto"/>
              <w:right w:val="single" w:sz="4" w:space="0" w:color="auto"/>
            </w:tcBorders>
            <w:shd w:val="clear" w:color="000000" w:fill="FFFFFF"/>
            <w:noWrap/>
            <w:vAlign w:val="center"/>
            <w:hideMark/>
          </w:tcPr>
          <w:p w14:paraId="7FC254E0" w14:textId="77777777" w:rsidR="004C19E9" w:rsidRPr="004C19E9" w:rsidRDefault="004C19E9" w:rsidP="004C19E9">
            <w:pPr>
              <w:spacing w:after="0" w:line="240" w:lineRule="auto"/>
              <w:jc w:val="center"/>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Denominator</w:t>
            </w:r>
          </w:p>
        </w:tc>
        <w:tc>
          <w:tcPr>
            <w:tcW w:w="1199" w:type="pct"/>
            <w:tcBorders>
              <w:top w:val="nil"/>
              <w:left w:val="nil"/>
              <w:bottom w:val="single" w:sz="4" w:space="0" w:color="auto"/>
              <w:right w:val="single" w:sz="4" w:space="0" w:color="auto"/>
            </w:tcBorders>
            <w:shd w:val="clear" w:color="000000" w:fill="FFFFFF"/>
            <w:hideMark/>
          </w:tcPr>
          <w:p w14:paraId="5D3F21F0"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number of people with fasting plasma glucose levels ≥126 mg/dL + number of people with a diagnosis of diabetes and FPG less than 126 mg/dL on treatment</w:t>
            </w:r>
          </w:p>
        </w:tc>
        <w:tc>
          <w:tcPr>
            <w:tcW w:w="733" w:type="pct"/>
            <w:gridSpan w:val="2"/>
            <w:tcBorders>
              <w:top w:val="nil"/>
              <w:left w:val="nil"/>
              <w:bottom w:val="single" w:sz="4" w:space="0" w:color="auto"/>
              <w:right w:val="single" w:sz="4" w:space="0" w:color="auto"/>
            </w:tcBorders>
            <w:shd w:val="clear" w:color="000000" w:fill="FFFFFF"/>
            <w:hideMark/>
          </w:tcPr>
          <w:p w14:paraId="5A05EB19" w14:textId="7B173C75" w:rsidR="004C19E9" w:rsidRPr="004C19E9" w:rsidRDefault="004C19E9" w:rsidP="004C19E9">
            <w:pPr>
              <w:spacing w:after="0" w:line="240" w:lineRule="auto"/>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Population-based surveys</w:t>
            </w:r>
          </w:p>
        </w:tc>
        <w:tc>
          <w:tcPr>
            <w:tcW w:w="364" w:type="pct"/>
            <w:vMerge/>
            <w:tcBorders>
              <w:top w:val="nil"/>
              <w:left w:val="single" w:sz="4" w:space="0" w:color="auto"/>
              <w:bottom w:val="single" w:sz="4" w:space="0" w:color="auto"/>
              <w:right w:val="single" w:sz="4" w:space="0" w:color="auto"/>
            </w:tcBorders>
            <w:vAlign w:val="center"/>
            <w:hideMark/>
          </w:tcPr>
          <w:p w14:paraId="3019020A" w14:textId="77777777" w:rsidR="004C19E9" w:rsidRPr="004C19E9" w:rsidRDefault="004C19E9" w:rsidP="004C19E9">
            <w:pPr>
              <w:spacing w:after="0" w:line="240" w:lineRule="auto"/>
              <w:rPr>
                <w:rFonts w:ascii="Calibri" w:eastAsia="Times New Roman" w:hAnsi="Calibri" w:cs="Calibri"/>
                <w:sz w:val="20"/>
                <w:szCs w:val="20"/>
                <w:lang w:val="en-US" w:eastAsia="en-US"/>
              </w:rPr>
            </w:pPr>
          </w:p>
        </w:tc>
        <w:tc>
          <w:tcPr>
            <w:tcW w:w="300" w:type="pct"/>
            <w:vMerge/>
            <w:tcBorders>
              <w:top w:val="nil"/>
              <w:left w:val="single" w:sz="4" w:space="0" w:color="auto"/>
              <w:bottom w:val="single" w:sz="4" w:space="0" w:color="auto"/>
              <w:right w:val="single" w:sz="4" w:space="0" w:color="auto"/>
            </w:tcBorders>
            <w:vAlign w:val="center"/>
            <w:hideMark/>
          </w:tcPr>
          <w:p w14:paraId="4A6FF8F2"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p>
        </w:tc>
        <w:tc>
          <w:tcPr>
            <w:tcW w:w="350" w:type="pct"/>
            <w:vMerge/>
            <w:tcBorders>
              <w:top w:val="nil"/>
              <w:left w:val="single" w:sz="4" w:space="0" w:color="auto"/>
              <w:bottom w:val="single" w:sz="4" w:space="0" w:color="auto"/>
              <w:right w:val="single" w:sz="4" w:space="0" w:color="auto"/>
            </w:tcBorders>
            <w:vAlign w:val="center"/>
            <w:hideMark/>
          </w:tcPr>
          <w:p w14:paraId="44AE4869"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p>
        </w:tc>
        <w:tc>
          <w:tcPr>
            <w:tcW w:w="296" w:type="pct"/>
            <w:vMerge/>
            <w:tcBorders>
              <w:top w:val="nil"/>
              <w:left w:val="single" w:sz="4" w:space="0" w:color="auto"/>
              <w:bottom w:val="single" w:sz="4" w:space="0" w:color="auto"/>
              <w:right w:val="single" w:sz="4" w:space="0" w:color="auto"/>
            </w:tcBorders>
            <w:vAlign w:val="center"/>
            <w:hideMark/>
          </w:tcPr>
          <w:p w14:paraId="6D1CBE95"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p>
        </w:tc>
      </w:tr>
      <w:tr w:rsidR="001166FA" w:rsidRPr="004C19E9" w14:paraId="4E84BFA7" w14:textId="77777777" w:rsidTr="001166FA">
        <w:trPr>
          <w:trHeight w:val="1357"/>
        </w:trPr>
        <w:tc>
          <w:tcPr>
            <w:tcW w:w="145" w:type="pct"/>
            <w:vMerge w:val="restart"/>
            <w:tcBorders>
              <w:top w:val="nil"/>
              <w:left w:val="single" w:sz="4" w:space="0" w:color="auto"/>
              <w:bottom w:val="single" w:sz="4" w:space="0" w:color="auto"/>
              <w:right w:val="single" w:sz="4" w:space="0" w:color="auto"/>
            </w:tcBorders>
            <w:shd w:val="clear" w:color="000000" w:fill="F6DEE0"/>
            <w:noWrap/>
            <w:vAlign w:val="center"/>
            <w:hideMark/>
          </w:tcPr>
          <w:p w14:paraId="56E01302" w14:textId="77777777" w:rsidR="004C19E9" w:rsidRPr="004C19E9" w:rsidRDefault="004C19E9" w:rsidP="004C19E9">
            <w:pPr>
              <w:spacing w:after="0" w:line="240" w:lineRule="auto"/>
              <w:jc w:val="center"/>
              <w:rPr>
                <w:rFonts w:ascii="Calibri" w:eastAsia="Times New Roman" w:hAnsi="Calibri" w:cs="Calibri"/>
                <w:b/>
                <w:bCs/>
                <w:color w:val="000000"/>
                <w:sz w:val="20"/>
                <w:szCs w:val="20"/>
                <w:lang w:val="en-US" w:eastAsia="en-US"/>
              </w:rPr>
            </w:pPr>
            <w:r w:rsidRPr="004C19E9">
              <w:rPr>
                <w:rFonts w:ascii="Calibri" w:eastAsia="Times New Roman" w:hAnsi="Calibri" w:cs="Calibri"/>
                <w:b/>
                <w:bCs/>
                <w:color w:val="000000"/>
                <w:sz w:val="20"/>
                <w:szCs w:val="20"/>
                <w:lang w:val="en-US" w:eastAsia="en-US"/>
              </w:rPr>
              <w:t>9</w:t>
            </w:r>
          </w:p>
        </w:tc>
        <w:tc>
          <w:tcPr>
            <w:tcW w:w="1142" w:type="pct"/>
            <w:vMerge w:val="restart"/>
            <w:tcBorders>
              <w:top w:val="nil"/>
              <w:left w:val="single" w:sz="4" w:space="0" w:color="auto"/>
              <w:bottom w:val="single" w:sz="4" w:space="0" w:color="auto"/>
              <w:right w:val="single" w:sz="4" w:space="0" w:color="auto"/>
            </w:tcBorders>
            <w:shd w:val="clear" w:color="000000" w:fill="F6DEE0"/>
            <w:vAlign w:val="center"/>
            <w:hideMark/>
          </w:tcPr>
          <w:p w14:paraId="6D4612E3"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EC antenatal care – proxied using antenatal care measured with quality</w:t>
            </w:r>
          </w:p>
        </w:tc>
        <w:tc>
          <w:tcPr>
            <w:tcW w:w="471" w:type="pct"/>
            <w:tcBorders>
              <w:top w:val="nil"/>
              <w:left w:val="nil"/>
              <w:bottom w:val="single" w:sz="4" w:space="0" w:color="auto"/>
              <w:right w:val="single" w:sz="4" w:space="0" w:color="auto"/>
            </w:tcBorders>
            <w:shd w:val="clear" w:color="000000" w:fill="F6DEE0"/>
            <w:noWrap/>
            <w:vAlign w:val="center"/>
            <w:hideMark/>
          </w:tcPr>
          <w:p w14:paraId="344F732B" w14:textId="77777777" w:rsidR="004C19E9" w:rsidRPr="004C19E9" w:rsidRDefault="004C19E9" w:rsidP="004C19E9">
            <w:pPr>
              <w:spacing w:after="0" w:line="240" w:lineRule="auto"/>
              <w:jc w:val="center"/>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Numerator</w:t>
            </w:r>
          </w:p>
        </w:tc>
        <w:tc>
          <w:tcPr>
            <w:tcW w:w="1199" w:type="pct"/>
            <w:tcBorders>
              <w:top w:val="nil"/>
              <w:left w:val="nil"/>
              <w:bottom w:val="single" w:sz="4" w:space="0" w:color="auto"/>
              <w:right w:val="single" w:sz="4" w:space="0" w:color="auto"/>
            </w:tcBorders>
            <w:shd w:val="clear" w:color="000000" w:fill="F6DEE0"/>
            <w:hideMark/>
          </w:tcPr>
          <w:p w14:paraId="67021741"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number of women aged 15−49 years with a live birth in a given time period who received antenatal care four or more times and had blood pressure measured and blood drawn during at least one antenatal care visit</w:t>
            </w:r>
          </w:p>
        </w:tc>
        <w:tc>
          <w:tcPr>
            <w:tcW w:w="733" w:type="pct"/>
            <w:gridSpan w:val="2"/>
            <w:tcBorders>
              <w:top w:val="nil"/>
              <w:left w:val="nil"/>
              <w:bottom w:val="single" w:sz="4" w:space="0" w:color="auto"/>
              <w:right w:val="single" w:sz="4" w:space="0" w:color="auto"/>
            </w:tcBorders>
            <w:shd w:val="clear" w:color="000000" w:fill="F6DEE0"/>
            <w:hideMark/>
          </w:tcPr>
          <w:p w14:paraId="56430243" w14:textId="2A1955BC" w:rsidR="004C19E9" w:rsidRPr="004C19E9" w:rsidRDefault="004C19E9" w:rsidP="004C19E9">
            <w:pPr>
              <w:spacing w:after="0" w:line="240" w:lineRule="auto"/>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Facility reco</w:t>
            </w:r>
            <w:r>
              <w:rPr>
                <w:rFonts w:ascii="Calibri" w:eastAsia="Times New Roman" w:hAnsi="Calibri" w:cs="Calibri"/>
                <w:color w:val="000000"/>
                <w:sz w:val="20"/>
                <w:szCs w:val="20"/>
                <w:lang w:val="en-US" w:eastAsia="en-US"/>
              </w:rPr>
              <w:t xml:space="preserve">rds/Population-based </w:t>
            </w:r>
            <w:r w:rsidRPr="004C19E9">
              <w:rPr>
                <w:rFonts w:ascii="Calibri" w:eastAsia="Times New Roman" w:hAnsi="Calibri" w:cs="Calibri"/>
                <w:color w:val="000000"/>
                <w:sz w:val="20"/>
                <w:szCs w:val="20"/>
                <w:lang w:val="en-US" w:eastAsia="en-US"/>
              </w:rPr>
              <w:t>surveys</w:t>
            </w:r>
          </w:p>
        </w:tc>
        <w:tc>
          <w:tcPr>
            <w:tcW w:w="364" w:type="pct"/>
            <w:vMerge w:val="restart"/>
            <w:tcBorders>
              <w:top w:val="nil"/>
              <w:left w:val="single" w:sz="4" w:space="0" w:color="auto"/>
              <w:bottom w:val="single" w:sz="4" w:space="0" w:color="auto"/>
              <w:right w:val="single" w:sz="4" w:space="0" w:color="auto"/>
            </w:tcBorders>
            <w:shd w:val="clear" w:color="000000" w:fill="F6DEE0"/>
            <w:vAlign w:val="center"/>
            <w:hideMark/>
          </w:tcPr>
          <w:p w14:paraId="63BAA286" w14:textId="77777777" w:rsidR="004C19E9" w:rsidRPr="004C19E9" w:rsidRDefault="004C19E9" w:rsidP="004C19E9">
            <w:pPr>
              <w:spacing w:after="0" w:line="240" w:lineRule="auto"/>
              <w:jc w:val="center"/>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 </w:t>
            </w:r>
          </w:p>
        </w:tc>
        <w:tc>
          <w:tcPr>
            <w:tcW w:w="300" w:type="pct"/>
            <w:vMerge w:val="restart"/>
            <w:tcBorders>
              <w:top w:val="nil"/>
              <w:left w:val="single" w:sz="4" w:space="0" w:color="auto"/>
              <w:bottom w:val="single" w:sz="4" w:space="0" w:color="auto"/>
              <w:right w:val="single" w:sz="4" w:space="0" w:color="auto"/>
            </w:tcBorders>
            <w:shd w:val="clear" w:color="000000" w:fill="F6DEE0"/>
            <w:vAlign w:val="center"/>
            <w:hideMark/>
          </w:tcPr>
          <w:p w14:paraId="09F9D4E3" w14:textId="77777777" w:rsidR="004C19E9" w:rsidRPr="004C19E9" w:rsidRDefault="004C19E9" w:rsidP="004C19E9">
            <w:pPr>
              <w:spacing w:after="0" w:line="240" w:lineRule="auto"/>
              <w:jc w:val="center"/>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 </w:t>
            </w:r>
          </w:p>
        </w:tc>
        <w:tc>
          <w:tcPr>
            <w:tcW w:w="350" w:type="pct"/>
            <w:vMerge w:val="restart"/>
            <w:tcBorders>
              <w:top w:val="nil"/>
              <w:left w:val="single" w:sz="4" w:space="0" w:color="auto"/>
              <w:bottom w:val="single" w:sz="4" w:space="0" w:color="auto"/>
              <w:right w:val="single" w:sz="4" w:space="0" w:color="auto"/>
            </w:tcBorders>
            <w:shd w:val="clear" w:color="000000" w:fill="F6DEE0"/>
            <w:vAlign w:val="center"/>
            <w:hideMark/>
          </w:tcPr>
          <w:p w14:paraId="5068B2A6" w14:textId="77777777" w:rsidR="004C19E9" w:rsidRPr="004C19E9" w:rsidRDefault="004C19E9" w:rsidP="004C19E9">
            <w:pPr>
              <w:spacing w:after="0" w:line="240" w:lineRule="auto"/>
              <w:jc w:val="center"/>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 </w:t>
            </w:r>
          </w:p>
        </w:tc>
        <w:tc>
          <w:tcPr>
            <w:tcW w:w="296" w:type="pct"/>
            <w:vMerge w:val="restart"/>
            <w:tcBorders>
              <w:top w:val="nil"/>
              <w:left w:val="single" w:sz="4" w:space="0" w:color="auto"/>
              <w:bottom w:val="single" w:sz="4" w:space="0" w:color="auto"/>
              <w:right w:val="single" w:sz="4" w:space="0" w:color="auto"/>
            </w:tcBorders>
            <w:shd w:val="clear" w:color="000000" w:fill="F6DEE0"/>
            <w:vAlign w:val="center"/>
            <w:hideMark/>
          </w:tcPr>
          <w:p w14:paraId="5B9A6E42" w14:textId="77777777" w:rsidR="004C19E9" w:rsidRPr="004C19E9" w:rsidRDefault="004C19E9" w:rsidP="004C19E9">
            <w:pPr>
              <w:spacing w:after="0" w:line="240" w:lineRule="auto"/>
              <w:jc w:val="center"/>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 </w:t>
            </w:r>
          </w:p>
        </w:tc>
      </w:tr>
      <w:tr w:rsidR="001166FA" w:rsidRPr="004C19E9" w14:paraId="67DB6D79" w14:textId="77777777" w:rsidTr="001166FA">
        <w:trPr>
          <w:trHeight w:val="600"/>
        </w:trPr>
        <w:tc>
          <w:tcPr>
            <w:tcW w:w="145" w:type="pct"/>
            <w:vMerge/>
            <w:tcBorders>
              <w:top w:val="nil"/>
              <w:left w:val="single" w:sz="4" w:space="0" w:color="auto"/>
              <w:bottom w:val="single" w:sz="4" w:space="0" w:color="auto"/>
              <w:right w:val="single" w:sz="4" w:space="0" w:color="auto"/>
            </w:tcBorders>
            <w:vAlign w:val="center"/>
            <w:hideMark/>
          </w:tcPr>
          <w:p w14:paraId="55B9562A" w14:textId="77777777" w:rsidR="004C19E9" w:rsidRPr="004C19E9" w:rsidRDefault="004C19E9" w:rsidP="004C19E9">
            <w:pPr>
              <w:spacing w:after="0" w:line="240" w:lineRule="auto"/>
              <w:rPr>
                <w:rFonts w:ascii="Calibri" w:eastAsia="Times New Roman" w:hAnsi="Calibri" w:cs="Calibri"/>
                <w:b/>
                <w:bCs/>
                <w:color w:val="000000"/>
                <w:sz w:val="20"/>
                <w:szCs w:val="20"/>
                <w:lang w:val="en-US" w:eastAsia="en-US"/>
              </w:rPr>
            </w:pPr>
          </w:p>
        </w:tc>
        <w:tc>
          <w:tcPr>
            <w:tcW w:w="1142" w:type="pct"/>
            <w:vMerge/>
            <w:tcBorders>
              <w:top w:val="nil"/>
              <w:left w:val="single" w:sz="4" w:space="0" w:color="auto"/>
              <w:bottom w:val="single" w:sz="4" w:space="0" w:color="auto"/>
              <w:right w:val="single" w:sz="4" w:space="0" w:color="auto"/>
            </w:tcBorders>
            <w:vAlign w:val="center"/>
            <w:hideMark/>
          </w:tcPr>
          <w:p w14:paraId="422B63B2"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p>
        </w:tc>
        <w:tc>
          <w:tcPr>
            <w:tcW w:w="471" w:type="pct"/>
            <w:tcBorders>
              <w:top w:val="nil"/>
              <w:left w:val="nil"/>
              <w:bottom w:val="nil"/>
              <w:right w:val="single" w:sz="4" w:space="0" w:color="auto"/>
            </w:tcBorders>
            <w:shd w:val="clear" w:color="000000" w:fill="F6DEE0"/>
            <w:noWrap/>
            <w:vAlign w:val="center"/>
            <w:hideMark/>
          </w:tcPr>
          <w:p w14:paraId="159C86B9" w14:textId="77777777" w:rsidR="004C19E9" w:rsidRPr="004C19E9" w:rsidRDefault="004C19E9" w:rsidP="004C19E9">
            <w:pPr>
              <w:spacing w:after="0" w:line="240" w:lineRule="auto"/>
              <w:jc w:val="center"/>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Denominator</w:t>
            </w:r>
          </w:p>
        </w:tc>
        <w:tc>
          <w:tcPr>
            <w:tcW w:w="1199" w:type="pct"/>
            <w:tcBorders>
              <w:top w:val="nil"/>
              <w:left w:val="nil"/>
              <w:bottom w:val="nil"/>
              <w:right w:val="single" w:sz="4" w:space="0" w:color="auto"/>
            </w:tcBorders>
            <w:shd w:val="clear" w:color="000000" w:fill="F6DEE0"/>
            <w:hideMark/>
          </w:tcPr>
          <w:p w14:paraId="30E91FA1"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total number of women aged 15−49 years with a live birth in the same period</w:t>
            </w:r>
          </w:p>
        </w:tc>
        <w:tc>
          <w:tcPr>
            <w:tcW w:w="733" w:type="pct"/>
            <w:gridSpan w:val="2"/>
            <w:tcBorders>
              <w:top w:val="nil"/>
              <w:left w:val="nil"/>
              <w:bottom w:val="nil"/>
              <w:right w:val="single" w:sz="4" w:space="0" w:color="auto"/>
            </w:tcBorders>
            <w:shd w:val="clear" w:color="000000" w:fill="F6DEE0"/>
            <w:hideMark/>
          </w:tcPr>
          <w:p w14:paraId="7A6F34B5"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Facility records, Population-based surveys</w:t>
            </w:r>
          </w:p>
        </w:tc>
        <w:tc>
          <w:tcPr>
            <w:tcW w:w="364" w:type="pct"/>
            <w:vMerge/>
            <w:tcBorders>
              <w:top w:val="nil"/>
              <w:left w:val="single" w:sz="4" w:space="0" w:color="auto"/>
              <w:bottom w:val="single" w:sz="4" w:space="0" w:color="auto"/>
              <w:right w:val="single" w:sz="4" w:space="0" w:color="auto"/>
            </w:tcBorders>
            <w:vAlign w:val="center"/>
            <w:hideMark/>
          </w:tcPr>
          <w:p w14:paraId="17460010"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p>
        </w:tc>
        <w:tc>
          <w:tcPr>
            <w:tcW w:w="300" w:type="pct"/>
            <w:vMerge/>
            <w:tcBorders>
              <w:top w:val="nil"/>
              <w:left w:val="single" w:sz="4" w:space="0" w:color="auto"/>
              <w:bottom w:val="single" w:sz="4" w:space="0" w:color="auto"/>
              <w:right w:val="single" w:sz="4" w:space="0" w:color="auto"/>
            </w:tcBorders>
            <w:vAlign w:val="center"/>
            <w:hideMark/>
          </w:tcPr>
          <w:p w14:paraId="737D2679"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p>
        </w:tc>
        <w:tc>
          <w:tcPr>
            <w:tcW w:w="350" w:type="pct"/>
            <w:vMerge/>
            <w:tcBorders>
              <w:top w:val="nil"/>
              <w:left w:val="single" w:sz="4" w:space="0" w:color="auto"/>
              <w:bottom w:val="single" w:sz="4" w:space="0" w:color="auto"/>
              <w:right w:val="single" w:sz="4" w:space="0" w:color="auto"/>
            </w:tcBorders>
            <w:vAlign w:val="center"/>
            <w:hideMark/>
          </w:tcPr>
          <w:p w14:paraId="2339E6CC"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p>
        </w:tc>
        <w:tc>
          <w:tcPr>
            <w:tcW w:w="296" w:type="pct"/>
            <w:vMerge/>
            <w:tcBorders>
              <w:top w:val="nil"/>
              <w:left w:val="single" w:sz="4" w:space="0" w:color="auto"/>
              <w:bottom w:val="single" w:sz="4" w:space="0" w:color="auto"/>
              <w:right w:val="single" w:sz="4" w:space="0" w:color="auto"/>
            </w:tcBorders>
            <w:vAlign w:val="center"/>
            <w:hideMark/>
          </w:tcPr>
          <w:p w14:paraId="7F57D6E1"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p>
        </w:tc>
      </w:tr>
      <w:tr w:rsidR="004C19E9" w:rsidRPr="004C19E9" w14:paraId="6DF71631" w14:textId="77777777" w:rsidTr="002A2174">
        <w:trPr>
          <w:trHeight w:val="510"/>
        </w:trPr>
        <w:tc>
          <w:tcPr>
            <w:tcW w:w="5000" w:type="pct"/>
            <w:gridSpan w:val="10"/>
            <w:tcBorders>
              <w:top w:val="single" w:sz="4" w:space="0" w:color="auto"/>
              <w:left w:val="single" w:sz="4" w:space="0" w:color="auto"/>
              <w:bottom w:val="single" w:sz="4" w:space="0" w:color="auto"/>
              <w:right w:val="single" w:sz="4" w:space="0" w:color="auto"/>
            </w:tcBorders>
            <w:shd w:val="clear" w:color="000000" w:fill="1F4E78"/>
            <w:noWrap/>
            <w:vAlign w:val="center"/>
            <w:hideMark/>
          </w:tcPr>
          <w:p w14:paraId="68039EFC" w14:textId="77777777" w:rsidR="004C19E9" w:rsidRPr="004C19E9" w:rsidRDefault="004C19E9" w:rsidP="004C19E9">
            <w:pPr>
              <w:spacing w:after="0" w:line="240" w:lineRule="auto"/>
              <w:rPr>
                <w:rFonts w:ascii="Calibri" w:eastAsia="Times New Roman" w:hAnsi="Calibri" w:cs="Calibri"/>
                <w:b/>
                <w:bCs/>
                <w:color w:val="FFFFFF"/>
                <w:sz w:val="20"/>
                <w:szCs w:val="20"/>
                <w:lang w:val="en-US" w:eastAsia="en-US"/>
              </w:rPr>
            </w:pPr>
            <w:r w:rsidRPr="004C19E9">
              <w:rPr>
                <w:rFonts w:ascii="Calibri" w:eastAsia="Times New Roman" w:hAnsi="Calibri" w:cs="Calibri"/>
                <w:b/>
                <w:bCs/>
                <w:color w:val="FFFFFF"/>
                <w:sz w:val="20"/>
                <w:szCs w:val="20"/>
                <w:lang w:val="en-US" w:eastAsia="en-US"/>
              </w:rPr>
              <w:t>Treatment: communicable, maternal, neonatal, nutritional</w:t>
            </w:r>
          </w:p>
        </w:tc>
      </w:tr>
      <w:tr w:rsidR="001166FA" w:rsidRPr="004C19E9" w14:paraId="150384F2" w14:textId="77777777" w:rsidTr="001166FA">
        <w:trPr>
          <w:trHeight w:val="900"/>
        </w:trPr>
        <w:tc>
          <w:tcPr>
            <w:tcW w:w="145"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3B1B3E2D" w14:textId="77777777" w:rsidR="004C19E9" w:rsidRPr="004C19E9" w:rsidRDefault="004C19E9" w:rsidP="004C19E9">
            <w:pPr>
              <w:spacing w:after="0" w:line="240" w:lineRule="auto"/>
              <w:jc w:val="center"/>
              <w:rPr>
                <w:rFonts w:ascii="Calibri" w:eastAsia="Times New Roman" w:hAnsi="Calibri" w:cs="Calibri"/>
                <w:b/>
                <w:bCs/>
                <w:color w:val="000000"/>
                <w:sz w:val="20"/>
                <w:szCs w:val="20"/>
                <w:lang w:val="en-US" w:eastAsia="en-US"/>
              </w:rPr>
            </w:pPr>
            <w:r w:rsidRPr="004C19E9">
              <w:rPr>
                <w:rFonts w:ascii="Calibri" w:eastAsia="Times New Roman" w:hAnsi="Calibri" w:cs="Calibri"/>
                <w:b/>
                <w:bCs/>
                <w:color w:val="000000"/>
                <w:sz w:val="20"/>
                <w:szCs w:val="20"/>
                <w:lang w:val="en-US" w:eastAsia="en-US"/>
              </w:rPr>
              <w:t>10</w:t>
            </w:r>
          </w:p>
        </w:tc>
        <w:tc>
          <w:tcPr>
            <w:tcW w:w="1142" w:type="pct"/>
            <w:vMerge w:val="restart"/>
            <w:tcBorders>
              <w:top w:val="nil"/>
              <w:left w:val="single" w:sz="4" w:space="0" w:color="auto"/>
              <w:bottom w:val="single" w:sz="4" w:space="0" w:color="auto"/>
              <w:right w:val="single" w:sz="4" w:space="0" w:color="auto"/>
            </w:tcBorders>
            <w:shd w:val="clear" w:color="000000" w:fill="FFFFFF"/>
            <w:vAlign w:val="center"/>
            <w:hideMark/>
          </w:tcPr>
          <w:p w14:paraId="1F2D1F3D"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 xml:space="preserve">EC management of labour and delivery – proxied using the proportion of live births delivered with a skilled birth attendant present. </w:t>
            </w:r>
          </w:p>
        </w:tc>
        <w:tc>
          <w:tcPr>
            <w:tcW w:w="471" w:type="pct"/>
            <w:tcBorders>
              <w:top w:val="nil"/>
              <w:left w:val="nil"/>
              <w:bottom w:val="single" w:sz="4" w:space="0" w:color="auto"/>
              <w:right w:val="single" w:sz="4" w:space="0" w:color="auto"/>
            </w:tcBorders>
            <w:shd w:val="clear" w:color="000000" w:fill="FFFFFF"/>
            <w:noWrap/>
            <w:vAlign w:val="center"/>
            <w:hideMark/>
          </w:tcPr>
          <w:p w14:paraId="2114274D" w14:textId="77777777" w:rsidR="004C19E9" w:rsidRPr="004C19E9" w:rsidRDefault="004C19E9" w:rsidP="004C19E9">
            <w:pPr>
              <w:spacing w:after="0" w:line="240" w:lineRule="auto"/>
              <w:jc w:val="center"/>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Numerator</w:t>
            </w:r>
          </w:p>
        </w:tc>
        <w:tc>
          <w:tcPr>
            <w:tcW w:w="1199" w:type="pct"/>
            <w:tcBorders>
              <w:top w:val="nil"/>
              <w:left w:val="nil"/>
              <w:bottom w:val="single" w:sz="4" w:space="0" w:color="auto"/>
              <w:right w:val="single" w:sz="4" w:space="0" w:color="auto"/>
            </w:tcBorders>
            <w:shd w:val="clear" w:color="000000" w:fill="FFFFFF"/>
            <w:hideMark/>
          </w:tcPr>
          <w:p w14:paraId="1D347B08" w14:textId="6AEB8E3D" w:rsidR="004C19E9" w:rsidRPr="004C19E9" w:rsidRDefault="004C19E9" w:rsidP="004C19E9">
            <w:pPr>
              <w:spacing w:after="0" w:line="240" w:lineRule="auto"/>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 xml:space="preserve">number of women aged </w:t>
            </w:r>
            <w:r w:rsidR="007F6EAE">
              <w:rPr>
                <w:rFonts w:ascii="Calibri" w:eastAsia="Times New Roman" w:hAnsi="Calibri" w:cs="Calibri"/>
                <w:color w:val="000000"/>
                <w:sz w:val="20"/>
                <w:szCs w:val="20"/>
                <w:lang w:val="en-US" w:eastAsia="en-US"/>
              </w:rPr>
              <w:t xml:space="preserve">15–49 years with a live birth </w:t>
            </w:r>
            <w:r w:rsidRPr="004C19E9">
              <w:rPr>
                <w:rFonts w:ascii="Calibri" w:eastAsia="Times New Roman" w:hAnsi="Calibri" w:cs="Calibri"/>
                <w:color w:val="000000"/>
                <w:sz w:val="20"/>
                <w:szCs w:val="20"/>
                <w:lang w:val="en-US" w:eastAsia="en-US"/>
              </w:rPr>
              <w:t>attended by a skilled health personnel (doctors, nurses or midwives) during delivery</w:t>
            </w:r>
          </w:p>
        </w:tc>
        <w:tc>
          <w:tcPr>
            <w:tcW w:w="733" w:type="pct"/>
            <w:gridSpan w:val="2"/>
            <w:tcBorders>
              <w:top w:val="nil"/>
              <w:left w:val="nil"/>
              <w:bottom w:val="single" w:sz="4" w:space="0" w:color="auto"/>
              <w:right w:val="single" w:sz="4" w:space="0" w:color="auto"/>
            </w:tcBorders>
            <w:shd w:val="clear" w:color="000000" w:fill="FFFFFF"/>
            <w:hideMark/>
          </w:tcPr>
          <w:p w14:paraId="0160B561"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Facility records, Population-based surveys</w:t>
            </w:r>
          </w:p>
        </w:tc>
        <w:tc>
          <w:tcPr>
            <w:tcW w:w="364" w:type="pct"/>
            <w:vMerge w:val="restart"/>
            <w:tcBorders>
              <w:top w:val="nil"/>
              <w:left w:val="single" w:sz="4" w:space="0" w:color="auto"/>
              <w:bottom w:val="single" w:sz="4" w:space="0" w:color="auto"/>
              <w:right w:val="single" w:sz="4" w:space="0" w:color="auto"/>
            </w:tcBorders>
            <w:shd w:val="clear" w:color="auto" w:fill="auto"/>
            <w:vAlign w:val="center"/>
            <w:hideMark/>
          </w:tcPr>
          <w:p w14:paraId="761B0B0C" w14:textId="1EE9B2F5" w:rsidR="004C19E9" w:rsidRPr="004C19E9" w:rsidRDefault="004C19E9" w:rsidP="004C19E9">
            <w:pPr>
              <w:spacing w:after="0" w:line="240" w:lineRule="auto"/>
              <w:jc w:val="center"/>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1</w:t>
            </w:r>
            <w:r w:rsidR="00BD691D">
              <w:rPr>
                <w:rFonts w:ascii="Calibri" w:eastAsia="Times New Roman" w:hAnsi="Calibri" w:cs="Calibri"/>
                <w:color w:val="000000"/>
                <w:sz w:val="20"/>
                <w:szCs w:val="20"/>
                <w:lang w:val="en-US" w:eastAsia="en-US"/>
              </w:rPr>
              <w:t>55</w:t>
            </w:r>
          </w:p>
        </w:tc>
        <w:tc>
          <w:tcPr>
            <w:tcW w:w="300" w:type="pct"/>
            <w:vMerge w:val="restart"/>
            <w:tcBorders>
              <w:top w:val="nil"/>
              <w:left w:val="single" w:sz="4" w:space="0" w:color="auto"/>
              <w:bottom w:val="single" w:sz="4" w:space="0" w:color="auto"/>
              <w:right w:val="single" w:sz="4" w:space="0" w:color="auto"/>
            </w:tcBorders>
            <w:shd w:val="clear" w:color="000000" w:fill="FFFFFF"/>
            <w:vAlign w:val="center"/>
            <w:hideMark/>
          </w:tcPr>
          <w:p w14:paraId="0683D023" w14:textId="77777777" w:rsidR="004C19E9" w:rsidRPr="004C19E9" w:rsidRDefault="004C19E9" w:rsidP="004C19E9">
            <w:pPr>
              <w:spacing w:after="0" w:line="240" w:lineRule="auto"/>
              <w:jc w:val="center"/>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Yes</w:t>
            </w:r>
          </w:p>
        </w:tc>
        <w:tc>
          <w:tcPr>
            <w:tcW w:w="350" w:type="pct"/>
            <w:vMerge w:val="restart"/>
            <w:tcBorders>
              <w:top w:val="nil"/>
              <w:left w:val="single" w:sz="4" w:space="0" w:color="auto"/>
              <w:bottom w:val="single" w:sz="4" w:space="0" w:color="auto"/>
              <w:right w:val="single" w:sz="4" w:space="0" w:color="auto"/>
            </w:tcBorders>
            <w:shd w:val="clear" w:color="000000" w:fill="FFFFFF"/>
            <w:vAlign w:val="center"/>
            <w:hideMark/>
          </w:tcPr>
          <w:p w14:paraId="09D488A3" w14:textId="77777777" w:rsidR="004C19E9" w:rsidRPr="004C19E9" w:rsidRDefault="004C19E9" w:rsidP="004C19E9">
            <w:pPr>
              <w:spacing w:after="0" w:line="240" w:lineRule="auto"/>
              <w:jc w:val="center"/>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Yes</w:t>
            </w:r>
          </w:p>
        </w:tc>
        <w:tc>
          <w:tcPr>
            <w:tcW w:w="296" w:type="pct"/>
            <w:vMerge w:val="restart"/>
            <w:tcBorders>
              <w:top w:val="nil"/>
              <w:left w:val="single" w:sz="4" w:space="0" w:color="auto"/>
              <w:bottom w:val="single" w:sz="4" w:space="0" w:color="auto"/>
              <w:right w:val="single" w:sz="4" w:space="0" w:color="auto"/>
            </w:tcBorders>
            <w:shd w:val="clear" w:color="000000" w:fill="FFFFFF"/>
            <w:vAlign w:val="center"/>
            <w:hideMark/>
          </w:tcPr>
          <w:p w14:paraId="398A985A" w14:textId="77777777" w:rsidR="004C19E9" w:rsidRPr="004C19E9" w:rsidRDefault="004C19E9" w:rsidP="004C19E9">
            <w:pPr>
              <w:spacing w:after="0" w:line="240" w:lineRule="auto"/>
              <w:jc w:val="center"/>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3.1.2</w:t>
            </w:r>
          </w:p>
        </w:tc>
      </w:tr>
      <w:tr w:rsidR="001166FA" w:rsidRPr="004C19E9" w14:paraId="52104B3E" w14:textId="77777777" w:rsidTr="001166FA">
        <w:trPr>
          <w:trHeight w:val="600"/>
        </w:trPr>
        <w:tc>
          <w:tcPr>
            <w:tcW w:w="145" w:type="pct"/>
            <w:vMerge/>
            <w:tcBorders>
              <w:top w:val="nil"/>
              <w:left w:val="single" w:sz="4" w:space="0" w:color="auto"/>
              <w:bottom w:val="single" w:sz="4" w:space="0" w:color="auto"/>
              <w:right w:val="single" w:sz="4" w:space="0" w:color="auto"/>
            </w:tcBorders>
            <w:vAlign w:val="center"/>
            <w:hideMark/>
          </w:tcPr>
          <w:p w14:paraId="430FFFFF" w14:textId="77777777" w:rsidR="004C19E9" w:rsidRPr="004C19E9" w:rsidRDefault="004C19E9" w:rsidP="004C19E9">
            <w:pPr>
              <w:spacing w:after="0" w:line="240" w:lineRule="auto"/>
              <w:rPr>
                <w:rFonts w:ascii="Calibri" w:eastAsia="Times New Roman" w:hAnsi="Calibri" w:cs="Calibri"/>
                <w:b/>
                <w:bCs/>
                <w:color w:val="000000"/>
                <w:sz w:val="20"/>
                <w:szCs w:val="20"/>
                <w:lang w:val="en-US" w:eastAsia="en-US"/>
              </w:rPr>
            </w:pPr>
          </w:p>
        </w:tc>
        <w:tc>
          <w:tcPr>
            <w:tcW w:w="1142" w:type="pct"/>
            <w:vMerge/>
            <w:tcBorders>
              <w:top w:val="nil"/>
              <w:left w:val="single" w:sz="4" w:space="0" w:color="auto"/>
              <w:bottom w:val="single" w:sz="4" w:space="0" w:color="auto"/>
              <w:right w:val="single" w:sz="4" w:space="0" w:color="auto"/>
            </w:tcBorders>
            <w:vAlign w:val="center"/>
            <w:hideMark/>
          </w:tcPr>
          <w:p w14:paraId="57DCA96F"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p>
        </w:tc>
        <w:tc>
          <w:tcPr>
            <w:tcW w:w="471" w:type="pct"/>
            <w:tcBorders>
              <w:top w:val="nil"/>
              <w:left w:val="nil"/>
              <w:bottom w:val="single" w:sz="4" w:space="0" w:color="auto"/>
              <w:right w:val="single" w:sz="4" w:space="0" w:color="auto"/>
            </w:tcBorders>
            <w:shd w:val="clear" w:color="000000" w:fill="FFFFFF"/>
            <w:noWrap/>
            <w:vAlign w:val="center"/>
            <w:hideMark/>
          </w:tcPr>
          <w:p w14:paraId="475CF252" w14:textId="77777777" w:rsidR="004C19E9" w:rsidRPr="004C19E9" w:rsidRDefault="004C19E9" w:rsidP="004C19E9">
            <w:pPr>
              <w:spacing w:after="0" w:line="240" w:lineRule="auto"/>
              <w:jc w:val="center"/>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Denominator</w:t>
            </w:r>
          </w:p>
        </w:tc>
        <w:tc>
          <w:tcPr>
            <w:tcW w:w="1199" w:type="pct"/>
            <w:tcBorders>
              <w:top w:val="nil"/>
              <w:left w:val="nil"/>
              <w:bottom w:val="single" w:sz="4" w:space="0" w:color="auto"/>
              <w:right w:val="single" w:sz="4" w:space="0" w:color="auto"/>
            </w:tcBorders>
            <w:shd w:val="clear" w:color="000000" w:fill="FFFFFF"/>
            <w:hideMark/>
          </w:tcPr>
          <w:p w14:paraId="53C91C50"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 xml:space="preserve">number of live births among women aged 15–49 years in the same period </w:t>
            </w:r>
          </w:p>
        </w:tc>
        <w:tc>
          <w:tcPr>
            <w:tcW w:w="733" w:type="pct"/>
            <w:gridSpan w:val="2"/>
            <w:tcBorders>
              <w:top w:val="nil"/>
              <w:left w:val="nil"/>
              <w:bottom w:val="single" w:sz="4" w:space="0" w:color="auto"/>
              <w:right w:val="single" w:sz="4" w:space="0" w:color="auto"/>
            </w:tcBorders>
            <w:shd w:val="clear" w:color="000000" w:fill="FFFFFF"/>
            <w:hideMark/>
          </w:tcPr>
          <w:p w14:paraId="655011CF"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CRVS, Population-based surveys</w:t>
            </w:r>
          </w:p>
        </w:tc>
        <w:tc>
          <w:tcPr>
            <w:tcW w:w="364" w:type="pct"/>
            <w:vMerge/>
            <w:tcBorders>
              <w:top w:val="nil"/>
              <w:left w:val="single" w:sz="4" w:space="0" w:color="auto"/>
              <w:bottom w:val="single" w:sz="4" w:space="0" w:color="auto"/>
              <w:right w:val="single" w:sz="4" w:space="0" w:color="auto"/>
            </w:tcBorders>
            <w:vAlign w:val="center"/>
            <w:hideMark/>
          </w:tcPr>
          <w:p w14:paraId="4BC82FDB"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p>
        </w:tc>
        <w:tc>
          <w:tcPr>
            <w:tcW w:w="300" w:type="pct"/>
            <w:vMerge/>
            <w:tcBorders>
              <w:top w:val="nil"/>
              <w:left w:val="single" w:sz="4" w:space="0" w:color="auto"/>
              <w:bottom w:val="single" w:sz="4" w:space="0" w:color="auto"/>
              <w:right w:val="single" w:sz="4" w:space="0" w:color="auto"/>
            </w:tcBorders>
            <w:vAlign w:val="center"/>
            <w:hideMark/>
          </w:tcPr>
          <w:p w14:paraId="59E0AF7C"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p>
        </w:tc>
        <w:tc>
          <w:tcPr>
            <w:tcW w:w="350" w:type="pct"/>
            <w:vMerge/>
            <w:tcBorders>
              <w:top w:val="nil"/>
              <w:left w:val="single" w:sz="4" w:space="0" w:color="auto"/>
              <w:bottom w:val="single" w:sz="4" w:space="0" w:color="auto"/>
              <w:right w:val="single" w:sz="4" w:space="0" w:color="auto"/>
            </w:tcBorders>
            <w:vAlign w:val="center"/>
            <w:hideMark/>
          </w:tcPr>
          <w:p w14:paraId="1BB91A77"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p>
        </w:tc>
        <w:tc>
          <w:tcPr>
            <w:tcW w:w="296" w:type="pct"/>
            <w:vMerge/>
            <w:tcBorders>
              <w:top w:val="nil"/>
              <w:left w:val="single" w:sz="4" w:space="0" w:color="auto"/>
              <w:bottom w:val="single" w:sz="4" w:space="0" w:color="auto"/>
              <w:right w:val="single" w:sz="4" w:space="0" w:color="auto"/>
            </w:tcBorders>
            <w:vAlign w:val="center"/>
            <w:hideMark/>
          </w:tcPr>
          <w:p w14:paraId="273908B8"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p>
        </w:tc>
      </w:tr>
      <w:tr w:rsidR="001166FA" w:rsidRPr="004C19E9" w14:paraId="1B5A54D8" w14:textId="77777777" w:rsidTr="001166FA">
        <w:trPr>
          <w:trHeight w:val="645"/>
        </w:trPr>
        <w:tc>
          <w:tcPr>
            <w:tcW w:w="145"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56235F8A" w14:textId="77777777" w:rsidR="004C19E9" w:rsidRPr="004C19E9" w:rsidRDefault="004C19E9" w:rsidP="004C19E9">
            <w:pPr>
              <w:spacing w:after="0" w:line="240" w:lineRule="auto"/>
              <w:jc w:val="center"/>
              <w:rPr>
                <w:rFonts w:ascii="Calibri" w:eastAsia="Times New Roman" w:hAnsi="Calibri" w:cs="Calibri"/>
                <w:b/>
                <w:bCs/>
                <w:color w:val="000000"/>
                <w:sz w:val="20"/>
                <w:szCs w:val="20"/>
                <w:lang w:val="en-US" w:eastAsia="en-US"/>
              </w:rPr>
            </w:pPr>
            <w:r w:rsidRPr="004C19E9">
              <w:rPr>
                <w:rFonts w:ascii="Calibri" w:eastAsia="Times New Roman" w:hAnsi="Calibri" w:cs="Calibri"/>
                <w:b/>
                <w:bCs/>
                <w:color w:val="000000"/>
                <w:sz w:val="20"/>
                <w:szCs w:val="20"/>
                <w:lang w:val="en-US" w:eastAsia="en-US"/>
              </w:rPr>
              <w:t>11</w:t>
            </w:r>
          </w:p>
        </w:tc>
        <w:tc>
          <w:tcPr>
            <w:tcW w:w="1142" w:type="pct"/>
            <w:vMerge w:val="restart"/>
            <w:tcBorders>
              <w:top w:val="nil"/>
              <w:left w:val="single" w:sz="4" w:space="0" w:color="auto"/>
              <w:bottom w:val="single" w:sz="4" w:space="0" w:color="auto"/>
              <w:right w:val="single" w:sz="4" w:space="0" w:color="auto"/>
            </w:tcBorders>
            <w:shd w:val="clear" w:color="000000" w:fill="FFFFFF"/>
            <w:vAlign w:val="center"/>
            <w:hideMark/>
          </w:tcPr>
          <w:p w14:paraId="26151F0E"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 xml:space="preserve">EC antenatal, peripartum and postnatal care for the newborn – proxied using the early neonatal death rate*. </w:t>
            </w:r>
          </w:p>
        </w:tc>
        <w:tc>
          <w:tcPr>
            <w:tcW w:w="471" w:type="pct"/>
            <w:tcBorders>
              <w:top w:val="nil"/>
              <w:left w:val="nil"/>
              <w:bottom w:val="single" w:sz="4" w:space="0" w:color="auto"/>
              <w:right w:val="single" w:sz="4" w:space="0" w:color="auto"/>
            </w:tcBorders>
            <w:shd w:val="clear" w:color="000000" w:fill="FFFFFF"/>
            <w:noWrap/>
            <w:vAlign w:val="center"/>
            <w:hideMark/>
          </w:tcPr>
          <w:p w14:paraId="13552179" w14:textId="77777777" w:rsidR="004C19E9" w:rsidRPr="004C19E9" w:rsidRDefault="004C19E9" w:rsidP="004C19E9">
            <w:pPr>
              <w:spacing w:after="0" w:line="240" w:lineRule="auto"/>
              <w:jc w:val="center"/>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Numerator</w:t>
            </w:r>
          </w:p>
        </w:tc>
        <w:tc>
          <w:tcPr>
            <w:tcW w:w="1199" w:type="pct"/>
            <w:tcBorders>
              <w:top w:val="nil"/>
              <w:left w:val="nil"/>
              <w:bottom w:val="single" w:sz="4" w:space="0" w:color="auto"/>
              <w:right w:val="single" w:sz="4" w:space="0" w:color="auto"/>
            </w:tcBorders>
            <w:shd w:val="clear" w:color="000000" w:fill="FFFFFF"/>
            <w:hideMark/>
          </w:tcPr>
          <w:p w14:paraId="43F1DA13" w14:textId="1083A9FE" w:rsidR="004C19E9" w:rsidRPr="004C19E9" w:rsidRDefault="004C19E9" w:rsidP="004C19E9">
            <w:pPr>
              <w:spacing w:after="0" w:line="240" w:lineRule="auto"/>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 xml:space="preserve">number of deaths in </w:t>
            </w:r>
            <w:r w:rsidR="00450F4F">
              <w:rPr>
                <w:rFonts w:ascii="Calibri" w:eastAsia="Times New Roman" w:hAnsi="Calibri" w:cs="Calibri"/>
                <w:color w:val="000000"/>
                <w:sz w:val="20"/>
                <w:szCs w:val="20"/>
                <w:lang w:val="en-US" w:eastAsia="en-US"/>
              </w:rPr>
              <w:t>newborns within seven days of birth</w:t>
            </w:r>
            <w:r w:rsidRPr="004C19E9">
              <w:rPr>
                <w:rFonts w:ascii="Calibri" w:eastAsia="Times New Roman" w:hAnsi="Calibri" w:cs="Calibri"/>
                <w:color w:val="000000"/>
                <w:sz w:val="20"/>
                <w:szCs w:val="20"/>
                <w:lang w:val="en-US" w:eastAsia="en-US"/>
              </w:rPr>
              <w:t xml:space="preserve"> </w:t>
            </w:r>
          </w:p>
        </w:tc>
        <w:tc>
          <w:tcPr>
            <w:tcW w:w="733" w:type="pct"/>
            <w:gridSpan w:val="2"/>
            <w:tcBorders>
              <w:top w:val="nil"/>
              <w:left w:val="nil"/>
              <w:bottom w:val="single" w:sz="4" w:space="0" w:color="auto"/>
              <w:right w:val="single" w:sz="4" w:space="0" w:color="auto"/>
            </w:tcBorders>
            <w:shd w:val="clear" w:color="000000" w:fill="FFFFFF"/>
            <w:hideMark/>
          </w:tcPr>
          <w:p w14:paraId="3047F0CE"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CRVS, Population-based surveys</w:t>
            </w:r>
          </w:p>
        </w:tc>
        <w:tc>
          <w:tcPr>
            <w:tcW w:w="364" w:type="pct"/>
            <w:vMerge w:val="restart"/>
            <w:tcBorders>
              <w:top w:val="nil"/>
              <w:left w:val="single" w:sz="4" w:space="0" w:color="auto"/>
              <w:bottom w:val="single" w:sz="4" w:space="0" w:color="auto"/>
              <w:right w:val="single" w:sz="4" w:space="0" w:color="auto"/>
            </w:tcBorders>
            <w:shd w:val="clear" w:color="auto" w:fill="auto"/>
            <w:vAlign w:val="center"/>
            <w:hideMark/>
          </w:tcPr>
          <w:p w14:paraId="52EDE9DF" w14:textId="6F02CDFA" w:rsidR="004C19E9" w:rsidRPr="004C19E9" w:rsidRDefault="004C19E9" w:rsidP="004C19E9">
            <w:pPr>
              <w:spacing w:after="0" w:line="240" w:lineRule="auto"/>
              <w:jc w:val="center"/>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1</w:t>
            </w:r>
            <w:r w:rsidR="00BD691D">
              <w:rPr>
                <w:rFonts w:ascii="Calibri" w:eastAsia="Times New Roman" w:hAnsi="Calibri" w:cs="Calibri"/>
                <w:color w:val="000000"/>
                <w:sz w:val="20"/>
                <w:szCs w:val="20"/>
                <w:lang w:val="en-US" w:eastAsia="en-US"/>
              </w:rPr>
              <w:t>94</w:t>
            </w:r>
          </w:p>
        </w:tc>
        <w:tc>
          <w:tcPr>
            <w:tcW w:w="300" w:type="pct"/>
            <w:vMerge w:val="restart"/>
            <w:tcBorders>
              <w:top w:val="nil"/>
              <w:left w:val="single" w:sz="4" w:space="0" w:color="auto"/>
              <w:bottom w:val="single" w:sz="4" w:space="0" w:color="auto"/>
              <w:right w:val="single" w:sz="4" w:space="0" w:color="auto"/>
            </w:tcBorders>
            <w:shd w:val="clear" w:color="000000" w:fill="FFFFFF"/>
            <w:vAlign w:val="center"/>
            <w:hideMark/>
          </w:tcPr>
          <w:p w14:paraId="0C320474" w14:textId="77777777" w:rsidR="004C19E9" w:rsidRPr="004C19E9" w:rsidRDefault="004C19E9" w:rsidP="004C19E9">
            <w:pPr>
              <w:spacing w:after="0" w:line="240" w:lineRule="auto"/>
              <w:jc w:val="center"/>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Yes</w:t>
            </w:r>
          </w:p>
        </w:tc>
        <w:tc>
          <w:tcPr>
            <w:tcW w:w="350" w:type="pct"/>
            <w:vMerge w:val="restart"/>
            <w:tcBorders>
              <w:top w:val="nil"/>
              <w:left w:val="single" w:sz="4" w:space="0" w:color="auto"/>
              <w:bottom w:val="single" w:sz="4" w:space="0" w:color="auto"/>
              <w:right w:val="single" w:sz="4" w:space="0" w:color="auto"/>
            </w:tcBorders>
            <w:shd w:val="clear" w:color="000000" w:fill="FFFFFF"/>
            <w:vAlign w:val="center"/>
            <w:hideMark/>
          </w:tcPr>
          <w:p w14:paraId="75E193F4" w14:textId="77777777" w:rsidR="004C19E9" w:rsidRPr="004C19E9" w:rsidRDefault="004C19E9" w:rsidP="004C19E9">
            <w:pPr>
              <w:spacing w:after="0" w:line="240" w:lineRule="auto"/>
              <w:jc w:val="center"/>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Yes</w:t>
            </w:r>
          </w:p>
        </w:tc>
        <w:tc>
          <w:tcPr>
            <w:tcW w:w="296" w:type="pct"/>
            <w:vMerge w:val="restart"/>
            <w:tcBorders>
              <w:top w:val="nil"/>
              <w:left w:val="single" w:sz="4" w:space="0" w:color="auto"/>
              <w:bottom w:val="single" w:sz="4" w:space="0" w:color="auto"/>
              <w:right w:val="single" w:sz="4" w:space="0" w:color="auto"/>
            </w:tcBorders>
            <w:shd w:val="clear" w:color="000000" w:fill="FFFFFF"/>
            <w:vAlign w:val="center"/>
            <w:hideMark/>
          </w:tcPr>
          <w:p w14:paraId="69F5F239" w14:textId="77777777" w:rsidR="004C19E9" w:rsidRPr="004C19E9" w:rsidRDefault="004C19E9" w:rsidP="004C19E9">
            <w:pPr>
              <w:spacing w:after="0" w:line="240" w:lineRule="auto"/>
              <w:jc w:val="center"/>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3.2.2</w:t>
            </w:r>
          </w:p>
        </w:tc>
      </w:tr>
      <w:tr w:rsidR="001166FA" w:rsidRPr="004C19E9" w14:paraId="4DF0182A" w14:textId="77777777" w:rsidTr="001166FA">
        <w:trPr>
          <w:trHeight w:val="585"/>
        </w:trPr>
        <w:tc>
          <w:tcPr>
            <w:tcW w:w="145" w:type="pct"/>
            <w:vMerge/>
            <w:tcBorders>
              <w:top w:val="nil"/>
              <w:left w:val="single" w:sz="4" w:space="0" w:color="auto"/>
              <w:bottom w:val="single" w:sz="4" w:space="0" w:color="auto"/>
              <w:right w:val="single" w:sz="4" w:space="0" w:color="auto"/>
            </w:tcBorders>
            <w:vAlign w:val="center"/>
            <w:hideMark/>
          </w:tcPr>
          <w:p w14:paraId="737597AA" w14:textId="77777777" w:rsidR="004C19E9" w:rsidRPr="004C19E9" w:rsidRDefault="004C19E9" w:rsidP="004C19E9">
            <w:pPr>
              <w:spacing w:after="0" w:line="240" w:lineRule="auto"/>
              <w:rPr>
                <w:rFonts w:ascii="Calibri" w:eastAsia="Times New Roman" w:hAnsi="Calibri" w:cs="Calibri"/>
                <w:b/>
                <w:bCs/>
                <w:color w:val="000000"/>
                <w:sz w:val="20"/>
                <w:szCs w:val="20"/>
                <w:lang w:val="en-US" w:eastAsia="en-US"/>
              </w:rPr>
            </w:pPr>
          </w:p>
        </w:tc>
        <w:tc>
          <w:tcPr>
            <w:tcW w:w="1142" w:type="pct"/>
            <w:vMerge/>
            <w:tcBorders>
              <w:top w:val="nil"/>
              <w:left w:val="single" w:sz="4" w:space="0" w:color="auto"/>
              <w:bottom w:val="single" w:sz="4" w:space="0" w:color="auto"/>
              <w:right w:val="single" w:sz="4" w:space="0" w:color="auto"/>
            </w:tcBorders>
            <w:vAlign w:val="center"/>
            <w:hideMark/>
          </w:tcPr>
          <w:p w14:paraId="0148539E"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p>
        </w:tc>
        <w:tc>
          <w:tcPr>
            <w:tcW w:w="471" w:type="pct"/>
            <w:tcBorders>
              <w:top w:val="nil"/>
              <w:left w:val="nil"/>
              <w:bottom w:val="single" w:sz="4" w:space="0" w:color="auto"/>
              <w:right w:val="single" w:sz="4" w:space="0" w:color="auto"/>
            </w:tcBorders>
            <w:shd w:val="clear" w:color="000000" w:fill="FFFFFF"/>
            <w:noWrap/>
            <w:vAlign w:val="center"/>
            <w:hideMark/>
          </w:tcPr>
          <w:p w14:paraId="4EBC7571" w14:textId="77777777" w:rsidR="004C19E9" w:rsidRPr="004C19E9" w:rsidRDefault="004C19E9" w:rsidP="004C19E9">
            <w:pPr>
              <w:spacing w:after="0" w:line="240" w:lineRule="auto"/>
              <w:jc w:val="center"/>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Denominator</w:t>
            </w:r>
          </w:p>
        </w:tc>
        <w:tc>
          <w:tcPr>
            <w:tcW w:w="1199" w:type="pct"/>
            <w:tcBorders>
              <w:top w:val="nil"/>
              <w:left w:val="nil"/>
              <w:bottom w:val="single" w:sz="4" w:space="0" w:color="auto"/>
              <w:right w:val="single" w:sz="4" w:space="0" w:color="auto"/>
            </w:tcBorders>
            <w:shd w:val="clear" w:color="000000" w:fill="FFFFFF"/>
            <w:hideMark/>
          </w:tcPr>
          <w:p w14:paraId="2EF24DDD"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number of live births</w:t>
            </w:r>
          </w:p>
        </w:tc>
        <w:tc>
          <w:tcPr>
            <w:tcW w:w="733" w:type="pct"/>
            <w:gridSpan w:val="2"/>
            <w:tcBorders>
              <w:top w:val="nil"/>
              <w:left w:val="nil"/>
              <w:bottom w:val="single" w:sz="4" w:space="0" w:color="auto"/>
              <w:right w:val="single" w:sz="4" w:space="0" w:color="auto"/>
            </w:tcBorders>
            <w:shd w:val="clear" w:color="000000" w:fill="FFFFFF"/>
            <w:hideMark/>
          </w:tcPr>
          <w:p w14:paraId="20A1E61D"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CRVS, Population-based surveys</w:t>
            </w:r>
          </w:p>
        </w:tc>
        <w:tc>
          <w:tcPr>
            <w:tcW w:w="364" w:type="pct"/>
            <w:vMerge/>
            <w:tcBorders>
              <w:top w:val="nil"/>
              <w:left w:val="single" w:sz="4" w:space="0" w:color="auto"/>
              <w:bottom w:val="single" w:sz="4" w:space="0" w:color="auto"/>
              <w:right w:val="single" w:sz="4" w:space="0" w:color="auto"/>
            </w:tcBorders>
            <w:vAlign w:val="center"/>
            <w:hideMark/>
          </w:tcPr>
          <w:p w14:paraId="7E059D4E"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p>
        </w:tc>
        <w:tc>
          <w:tcPr>
            <w:tcW w:w="300" w:type="pct"/>
            <w:vMerge/>
            <w:tcBorders>
              <w:top w:val="nil"/>
              <w:left w:val="single" w:sz="4" w:space="0" w:color="auto"/>
              <w:bottom w:val="single" w:sz="4" w:space="0" w:color="auto"/>
              <w:right w:val="single" w:sz="4" w:space="0" w:color="auto"/>
            </w:tcBorders>
            <w:vAlign w:val="center"/>
            <w:hideMark/>
          </w:tcPr>
          <w:p w14:paraId="3870B112"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p>
        </w:tc>
        <w:tc>
          <w:tcPr>
            <w:tcW w:w="350" w:type="pct"/>
            <w:vMerge/>
            <w:tcBorders>
              <w:top w:val="nil"/>
              <w:left w:val="single" w:sz="4" w:space="0" w:color="auto"/>
              <w:bottom w:val="single" w:sz="4" w:space="0" w:color="auto"/>
              <w:right w:val="single" w:sz="4" w:space="0" w:color="auto"/>
            </w:tcBorders>
            <w:vAlign w:val="center"/>
            <w:hideMark/>
          </w:tcPr>
          <w:p w14:paraId="5645E391"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p>
        </w:tc>
        <w:tc>
          <w:tcPr>
            <w:tcW w:w="296" w:type="pct"/>
            <w:vMerge/>
            <w:tcBorders>
              <w:top w:val="nil"/>
              <w:left w:val="single" w:sz="4" w:space="0" w:color="auto"/>
              <w:bottom w:val="single" w:sz="4" w:space="0" w:color="auto"/>
              <w:right w:val="single" w:sz="4" w:space="0" w:color="auto"/>
            </w:tcBorders>
            <w:vAlign w:val="center"/>
            <w:hideMark/>
          </w:tcPr>
          <w:p w14:paraId="52381E52"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p>
        </w:tc>
      </w:tr>
      <w:tr w:rsidR="001166FA" w:rsidRPr="004C19E9" w14:paraId="30BC8410" w14:textId="77777777" w:rsidTr="001166FA">
        <w:trPr>
          <w:trHeight w:val="570"/>
        </w:trPr>
        <w:tc>
          <w:tcPr>
            <w:tcW w:w="145"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0EDBDE13" w14:textId="77777777" w:rsidR="004C19E9" w:rsidRPr="004C19E9" w:rsidRDefault="004C19E9" w:rsidP="004C19E9">
            <w:pPr>
              <w:spacing w:after="0" w:line="240" w:lineRule="auto"/>
              <w:jc w:val="center"/>
              <w:rPr>
                <w:rFonts w:ascii="Calibri" w:eastAsia="Times New Roman" w:hAnsi="Calibri" w:cs="Calibri"/>
                <w:b/>
                <w:bCs/>
                <w:color w:val="000000"/>
                <w:sz w:val="20"/>
                <w:szCs w:val="20"/>
                <w:lang w:val="en-US" w:eastAsia="en-US"/>
              </w:rPr>
            </w:pPr>
            <w:r w:rsidRPr="004C19E9">
              <w:rPr>
                <w:rFonts w:ascii="Calibri" w:eastAsia="Times New Roman" w:hAnsi="Calibri" w:cs="Calibri"/>
                <w:b/>
                <w:bCs/>
                <w:color w:val="000000"/>
                <w:sz w:val="20"/>
                <w:szCs w:val="20"/>
                <w:lang w:val="en-US" w:eastAsia="en-US"/>
              </w:rPr>
              <w:t>12</w:t>
            </w:r>
          </w:p>
        </w:tc>
        <w:tc>
          <w:tcPr>
            <w:tcW w:w="1142" w:type="pct"/>
            <w:vMerge w:val="restart"/>
            <w:tcBorders>
              <w:top w:val="nil"/>
              <w:left w:val="single" w:sz="4" w:space="0" w:color="auto"/>
              <w:bottom w:val="single" w:sz="4" w:space="0" w:color="auto"/>
              <w:right w:val="single" w:sz="4" w:space="0" w:color="auto"/>
            </w:tcBorders>
            <w:shd w:val="clear" w:color="000000" w:fill="FFFFFF"/>
            <w:vAlign w:val="center"/>
            <w:hideMark/>
          </w:tcPr>
          <w:p w14:paraId="23E33813"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 xml:space="preserve">EC antenatal, peripartum and postnatal care for the mother – proxied using the age-standardized maternal mortality ratio*.  </w:t>
            </w:r>
          </w:p>
        </w:tc>
        <w:tc>
          <w:tcPr>
            <w:tcW w:w="471" w:type="pct"/>
            <w:tcBorders>
              <w:top w:val="nil"/>
              <w:left w:val="nil"/>
              <w:bottom w:val="single" w:sz="4" w:space="0" w:color="auto"/>
              <w:right w:val="single" w:sz="4" w:space="0" w:color="auto"/>
            </w:tcBorders>
            <w:shd w:val="clear" w:color="000000" w:fill="FFFFFF"/>
            <w:noWrap/>
            <w:vAlign w:val="center"/>
            <w:hideMark/>
          </w:tcPr>
          <w:p w14:paraId="5EEAFB14" w14:textId="77777777" w:rsidR="004C19E9" w:rsidRPr="004C19E9" w:rsidRDefault="004C19E9" w:rsidP="004C19E9">
            <w:pPr>
              <w:spacing w:after="0" w:line="240" w:lineRule="auto"/>
              <w:jc w:val="center"/>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Numerator</w:t>
            </w:r>
          </w:p>
        </w:tc>
        <w:tc>
          <w:tcPr>
            <w:tcW w:w="1199" w:type="pct"/>
            <w:tcBorders>
              <w:top w:val="nil"/>
              <w:left w:val="nil"/>
              <w:bottom w:val="single" w:sz="4" w:space="0" w:color="auto"/>
              <w:right w:val="single" w:sz="4" w:space="0" w:color="auto"/>
            </w:tcBorders>
            <w:shd w:val="clear" w:color="000000" w:fill="FFFFFF"/>
            <w:hideMark/>
          </w:tcPr>
          <w:p w14:paraId="77AF27B9"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number of maternal deaths</w:t>
            </w:r>
          </w:p>
        </w:tc>
        <w:tc>
          <w:tcPr>
            <w:tcW w:w="733" w:type="pct"/>
            <w:gridSpan w:val="2"/>
            <w:tcBorders>
              <w:top w:val="nil"/>
              <w:left w:val="nil"/>
              <w:bottom w:val="single" w:sz="4" w:space="0" w:color="auto"/>
              <w:right w:val="single" w:sz="4" w:space="0" w:color="auto"/>
            </w:tcBorders>
            <w:shd w:val="clear" w:color="000000" w:fill="FFFFFF"/>
            <w:hideMark/>
          </w:tcPr>
          <w:p w14:paraId="1593CEE8"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CRVS, Population-based surveys</w:t>
            </w:r>
          </w:p>
        </w:tc>
        <w:tc>
          <w:tcPr>
            <w:tcW w:w="364" w:type="pct"/>
            <w:vMerge w:val="restart"/>
            <w:tcBorders>
              <w:top w:val="nil"/>
              <w:left w:val="single" w:sz="4" w:space="0" w:color="auto"/>
              <w:bottom w:val="single" w:sz="4" w:space="0" w:color="auto"/>
              <w:right w:val="single" w:sz="4" w:space="0" w:color="auto"/>
            </w:tcBorders>
            <w:shd w:val="clear" w:color="000000" w:fill="FFFFFF"/>
            <w:vAlign w:val="center"/>
            <w:hideMark/>
          </w:tcPr>
          <w:p w14:paraId="627566EE" w14:textId="2A51A344" w:rsidR="004C19E9" w:rsidRPr="004C19E9" w:rsidRDefault="004C19E9" w:rsidP="004C19E9">
            <w:pPr>
              <w:spacing w:after="0" w:line="240" w:lineRule="auto"/>
              <w:jc w:val="center"/>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1</w:t>
            </w:r>
            <w:r w:rsidR="00BD691D">
              <w:rPr>
                <w:rFonts w:ascii="Calibri" w:eastAsia="Times New Roman" w:hAnsi="Calibri" w:cs="Calibri"/>
                <w:color w:val="000000"/>
                <w:sz w:val="20"/>
                <w:szCs w:val="20"/>
                <w:lang w:val="en-US" w:eastAsia="en-US"/>
              </w:rPr>
              <w:t>10</w:t>
            </w:r>
          </w:p>
        </w:tc>
        <w:tc>
          <w:tcPr>
            <w:tcW w:w="300" w:type="pct"/>
            <w:vMerge w:val="restart"/>
            <w:tcBorders>
              <w:top w:val="nil"/>
              <w:left w:val="single" w:sz="4" w:space="0" w:color="auto"/>
              <w:bottom w:val="single" w:sz="4" w:space="0" w:color="auto"/>
              <w:right w:val="single" w:sz="4" w:space="0" w:color="auto"/>
            </w:tcBorders>
            <w:shd w:val="clear" w:color="000000" w:fill="FFFFFF"/>
            <w:vAlign w:val="center"/>
            <w:hideMark/>
          </w:tcPr>
          <w:p w14:paraId="4CFAB1B2" w14:textId="77777777" w:rsidR="004C19E9" w:rsidRPr="004C19E9" w:rsidRDefault="004C19E9" w:rsidP="004C19E9">
            <w:pPr>
              <w:spacing w:after="0" w:line="240" w:lineRule="auto"/>
              <w:jc w:val="center"/>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Yes</w:t>
            </w:r>
          </w:p>
        </w:tc>
        <w:tc>
          <w:tcPr>
            <w:tcW w:w="350" w:type="pct"/>
            <w:vMerge w:val="restart"/>
            <w:tcBorders>
              <w:top w:val="nil"/>
              <w:left w:val="single" w:sz="4" w:space="0" w:color="auto"/>
              <w:bottom w:val="single" w:sz="4" w:space="0" w:color="auto"/>
              <w:right w:val="single" w:sz="4" w:space="0" w:color="auto"/>
            </w:tcBorders>
            <w:shd w:val="clear" w:color="000000" w:fill="FFFFFF"/>
            <w:vAlign w:val="center"/>
            <w:hideMark/>
          </w:tcPr>
          <w:p w14:paraId="487FCF75" w14:textId="77777777" w:rsidR="004C19E9" w:rsidRPr="004C19E9" w:rsidRDefault="004C19E9" w:rsidP="004C19E9">
            <w:pPr>
              <w:spacing w:after="0" w:line="240" w:lineRule="auto"/>
              <w:jc w:val="center"/>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Yes</w:t>
            </w:r>
          </w:p>
        </w:tc>
        <w:tc>
          <w:tcPr>
            <w:tcW w:w="296" w:type="pct"/>
            <w:vMerge w:val="restart"/>
            <w:tcBorders>
              <w:top w:val="nil"/>
              <w:left w:val="single" w:sz="4" w:space="0" w:color="auto"/>
              <w:bottom w:val="single" w:sz="4" w:space="0" w:color="auto"/>
              <w:right w:val="single" w:sz="4" w:space="0" w:color="auto"/>
            </w:tcBorders>
            <w:shd w:val="clear" w:color="000000" w:fill="FFFFFF"/>
            <w:vAlign w:val="center"/>
            <w:hideMark/>
          </w:tcPr>
          <w:p w14:paraId="6A469484" w14:textId="77777777" w:rsidR="004C19E9" w:rsidRPr="004C19E9" w:rsidRDefault="004C19E9" w:rsidP="004C19E9">
            <w:pPr>
              <w:spacing w:after="0" w:line="240" w:lineRule="auto"/>
              <w:jc w:val="center"/>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3.1.1</w:t>
            </w:r>
          </w:p>
        </w:tc>
      </w:tr>
      <w:tr w:rsidR="001166FA" w:rsidRPr="004C19E9" w14:paraId="191932BB" w14:textId="77777777" w:rsidTr="001166FA">
        <w:trPr>
          <w:trHeight w:val="675"/>
        </w:trPr>
        <w:tc>
          <w:tcPr>
            <w:tcW w:w="145" w:type="pct"/>
            <w:vMerge/>
            <w:tcBorders>
              <w:top w:val="nil"/>
              <w:left w:val="single" w:sz="4" w:space="0" w:color="auto"/>
              <w:bottom w:val="single" w:sz="4" w:space="0" w:color="auto"/>
              <w:right w:val="single" w:sz="4" w:space="0" w:color="auto"/>
            </w:tcBorders>
            <w:vAlign w:val="center"/>
            <w:hideMark/>
          </w:tcPr>
          <w:p w14:paraId="4B233A2C" w14:textId="77777777" w:rsidR="004C19E9" w:rsidRPr="004C19E9" w:rsidRDefault="004C19E9" w:rsidP="004C19E9">
            <w:pPr>
              <w:spacing w:after="0" w:line="240" w:lineRule="auto"/>
              <w:rPr>
                <w:rFonts w:ascii="Calibri" w:eastAsia="Times New Roman" w:hAnsi="Calibri" w:cs="Calibri"/>
                <w:b/>
                <w:bCs/>
                <w:color w:val="000000"/>
                <w:sz w:val="20"/>
                <w:szCs w:val="20"/>
                <w:lang w:val="en-US" w:eastAsia="en-US"/>
              </w:rPr>
            </w:pPr>
          </w:p>
        </w:tc>
        <w:tc>
          <w:tcPr>
            <w:tcW w:w="1142" w:type="pct"/>
            <w:vMerge/>
            <w:tcBorders>
              <w:top w:val="nil"/>
              <w:left w:val="single" w:sz="4" w:space="0" w:color="auto"/>
              <w:bottom w:val="single" w:sz="4" w:space="0" w:color="auto"/>
              <w:right w:val="single" w:sz="4" w:space="0" w:color="auto"/>
            </w:tcBorders>
            <w:vAlign w:val="center"/>
            <w:hideMark/>
          </w:tcPr>
          <w:p w14:paraId="217B7417"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p>
        </w:tc>
        <w:tc>
          <w:tcPr>
            <w:tcW w:w="471" w:type="pct"/>
            <w:tcBorders>
              <w:top w:val="nil"/>
              <w:left w:val="nil"/>
              <w:bottom w:val="single" w:sz="4" w:space="0" w:color="auto"/>
              <w:right w:val="single" w:sz="4" w:space="0" w:color="auto"/>
            </w:tcBorders>
            <w:shd w:val="clear" w:color="000000" w:fill="FFFFFF"/>
            <w:noWrap/>
            <w:vAlign w:val="center"/>
            <w:hideMark/>
          </w:tcPr>
          <w:p w14:paraId="1821627C" w14:textId="77777777" w:rsidR="004C19E9" w:rsidRPr="004C19E9" w:rsidRDefault="004C19E9" w:rsidP="004C19E9">
            <w:pPr>
              <w:spacing w:after="0" w:line="240" w:lineRule="auto"/>
              <w:jc w:val="center"/>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Denominator</w:t>
            </w:r>
          </w:p>
        </w:tc>
        <w:tc>
          <w:tcPr>
            <w:tcW w:w="1199" w:type="pct"/>
            <w:tcBorders>
              <w:top w:val="nil"/>
              <w:left w:val="nil"/>
              <w:bottom w:val="single" w:sz="4" w:space="0" w:color="auto"/>
              <w:right w:val="single" w:sz="4" w:space="0" w:color="auto"/>
            </w:tcBorders>
            <w:shd w:val="clear" w:color="000000" w:fill="FFFFFF"/>
            <w:hideMark/>
          </w:tcPr>
          <w:p w14:paraId="53CBF780"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number of live births</w:t>
            </w:r>
          </w:p>
        </w:tc>
        <w:tc>
          <w:tcPr>
            <w:tcW w:w="733" w:type="pct"/>
            <w:gridSpan w:val="2"/>
            <w:tcBorders>
              <w:top w:val="nil"/>
              <w:left w:val="nil"/>
              <w:bottom w:val="single" w:sz="4" w:space="0" w:color="auto"/>
              <w:right w:val="single" w:sz="4" w:space="0" w:color="auto"/>
            </w:tcBorders>
            <w:shd w:val="clear" w:color="000000" w:fill="FFFFFF"/>
            <w:hideMark/>
          </w:tcPr>
          <w:p w14:paraId="52E2DC24"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CRVS, Population-based surveys</w:t>
            </w:r>
          </w:p>
        </w:tc>
        <w:tc>
          <w:tcPr>
            <w:tcW w:w="364" w:type="pct"/>
            <w:vMerge/>
            <w:tcBorders>
              <w:top w:val="nil"/>
              <w:left w:val="single" w:sz="4" w:space="0" w:color="auto"/>
              <w:bottom w:val="single" w:sz="4" w:space="0" w:color="auto"/>
              <w:right w:val="single" w:sz="4" w:space="0" w:color="auto"/>
            </w:tcBorders>
            <w:vAlign w:val="center"/>
            <w:hideMark/>
          </w:tcPr>
          <w:p w14:paraId="64242778"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p>
        </w:tc>
        <w:tc>
          <w:tcPr>
            <w:tcW w:w="300" w:type="pct"/>
            <w:vMerge/>
            <w:tcBorders>
              <w:top w:val="nil"/>
              <w:left w:val="single" w:sz="4" w:space="0" w:color="auto"/>
              <w:bottom w:val="single" w:sz="4" w:space="0" w:color="auto"/>
              <w:right w:val="single" w:sz="4" w:space="0" w:color="auto"/>
            </w:tcBorders>
            <w:vAlign w:val="center"/>
            <w:hideMark/>
          </w:tcPr>
          <w:p w14:paraId="5A0B10FE"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p>
        </w:tc>
        <w:tc>
          <w:tcPr>
            <w:tcW w:w="350" w:type="pct"/>
            <w:vMerge/>
            <w:tcBorders>
              <w:top w:val="nil"/>
              <w:left w:val="single" w:sz="4" w:space="0" w:color="auto"/>
              <w:bottom w:val="single" w:sz="4" w:space="0" w:color="auto"/>
              <w:right w:val="single" w:sz="4" w:space="0" w:color="auto"/>
            </w:tcBorders>
            <w:vAlign w:val="center"/>
            <w:hideMark/>
          </w:tcPr>
          <w:p w14:paraId="7597B769"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p>
        </w:tc>
        <w:tc>
          <w:tcPr>
            <w:tcW w:w="296" w:type="pct"/>
            <w:vMerge/>
            <w:tcBorders>
              <w:top w:val="nil"/>
              <w:left w:val="single" w:sz="4" w:space="0" w:color="auto"/>
              <w:bottom w:val="single" w:sz="4" w:space="0" w:color="auto"/>
              <w:right w:val="single" w:sz="4" w:space="0" w:color="auto"/>
            </w:tcBorders>
            <w:vAlign w:val="center"/>
            <w:hideMark/>
          </w:tcPr>
          <w:p w14:paraId="586440DD"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p>
        </w:tc>
      </w:tr>
      <w:tr w:rsidR="001166FA" w:rsidRPr="004C19E9" w14:paraId="19CD7C04" w14:textId="77777777" w:rsidTr="001166FA">
        <w:trPr>
          <w:trHeight w:val="705"/>
        </w:trPr>
        <w:tc>
          <w:tcPr>
            <w:tcW w:w="145"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76BBFE9B" w14:textId="77777777" w:rsidR="004C19E9" w:rsidRPr="004C19E9" w:rsidRDefault="004C19E9" w:rsidP="004C19E9">
            <w:pPr>
              <w:spacing w:after="0" w:line="240" w:lineRule="auto"/>
              <w:jc w:val="center"/>
              <w:rPr>
                <w:rFonts w:ascii="Calibri" w:eastAsia="Times New Roman" w:hAnsi="Calibri" w:cs="Calibri"/>
                <w:b/>
                <w:bCs/>
                <w:color w:val="000000"/>
                <w:sz w:val="20"/>
                <w:szCs w:val="20"/>
                <w:lang w:val="en-US" w:eastAsia="en-US"/>
              </w:rPr>
            </w:pPr>
            <w:r w:rsidRPr="004C19E9">
              <w:rPr>
                <w:rFonts w:ascii="Calibri" w:eastAsia="Times New Roman" w:hAnsi="Calibri" w:cs="Calibri"/>
                <w:b/>
                <w:bCs/>
                <w:color w:val="000000"/>
                <w:sz w:val="20"/>
                <w:szCs w:val="20"/>
                <w:lang w:val="en-US" w:eastAsia="en-US"/>
              </w:rPr>
              <w:t>13</w:t>
            </w:r>
          </w:p>
        </w:tc>
        <w:tc>
          <w:tcPr>
            <w:tcW w:w="1142" w:type="pct"/>
            <w:vMerge w:val="restart"/>
            <w:tcBorders>
              <w:top w:val="nil"/>
              <w:left w:val="single" w:sz="4" w:space="0" w:color="auto"/>
              <w:bottom w:val="single" w:sz="4" w:space="0" w:color="auto"/>
              <w:right w:val="single" w:sz="4" w:space="0" w:color="auto"/>
            </w:tcBorders>
            <w:shd w:val="clear" w:color="000000" w:fill="FFFFFF"/>
            <w:vAlign w:val="center"/>
            <w:hideMark/>
          </w:tcPr>
          <w:p w14:paraId="252375E0"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 xml:space="preserve">EC treatment for pneumonia – proxied using the rescaled death to incidence ratio for pneumonia*.  </w:t>
            </w:r>
          </w:p>
        </w:tc>
        <w:tc>
          <w:tcPr>
            <w:tcW w:w="471" w:type="pct"/>
            <w:tcBorders>
              <w:top w:val="nil"/>
              <w:left w:val="nil"/>
              <w:bottom w:val="single" w:sz="4" w:space="0" w:color="auto"/>
              <w:right w:val="single" w:sz="4" w:space="0" w:color="auto"/>
            </w:tcBorders>
            <w:shd w:val="clear" w:color="000000" w:fill="FFFFFF"/>
            <w:noWrap/>
            <w:vAlign w:val="center"/>
            <w:hideMark/>
          </w:tcPr>
          <w:p w14:paraId="5C6DC5B3" w14:textId="77777777" w:rsidR="004C19E9" w:rsidRPr="004C19E9" w:rsidRDefault="004C19E9" w:rsidP="004C19E9">
            <w:pPr>
              <w:spacing w:after="0" w:line="240" w:lineRule="auto"/>
              <w:jc w:val="center"/>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Numerator</w:t>
            </w:r>
          </w:p>
        </w:tc>
        <w:tc>
          <w:tcPr>
            <w:tcW w:w="1199" w:type="pct"/>
            <w:tcBorders>
              <w:top w:val="nil"/>
              <w:left w:val="nil"/>
              <w:bottom w:val="single" w:sz="4" w:space="0" w:color="auto"/>
              <w:right w:val="single" w:sz="4" w:space="0" w:color="auto"/>
            </w:tcBorders>
            <w:shd w:val="clear" w:color="000000" w:fill="FFFFFF"/>
            <w:hideMark/>
          </w:tcPr>
          <w:p w14:paraId="7A464E1F" w14:textId="0672E4B7" w:rsidR="004C19E9" w:rsidRPr="004C19E9" w:rsidRDefault="004C19E9" w:rsidP="004C19E9">
            <w:pPr>
              <w:spacing w:after="0" w:line="240" w:lineRule="auto"/>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 xml:space="preserve">number of deaths due to pneumonia in </w:t>
            </w:r>
            <w:r w:rsidR="0062025E">
              <w:rPr>
                <w:rFonts w:ascii="Calibri" w:eastAsia="Times New Roman" w:hAnsi="Calibri" w:cs="Calibri"/>
                <w:color w:val="000000"/>
                <w:sz w:val="20"/>
                <w:szCs w:val="20"/>
                <w:lang w:val="en-US" w:eastAsia="en-US"/>
              </w:rPr>
              <w:t>children</w:t>
            </w:r>
            <w:r w:rsidRPr="004C19E9">
              <w:rPr>
                <w:rFonts w:ascii="Calibri" w:eastAsia="Times New Roman" w:hAnsi="Calibri" w:cs="Calibri"/>
                <w:color w:val="000000"/>
                <w:sz w:val="20"/>
                <w:szCs w:val="20"/>
                <w:lang w:val="en-US" w:eastAsia="en-US"/>
              </w:rPr>
              <w:t xml:space="preserve"> aged </w:t>
            </w:r>
            <w:r w:rsidR="0062025E">
              <w:rPr>
                <w:rFonts w:ascii="Calibri" w:eastAsia="Times New Roman" w:hAnsi="Calibri" w:cs="Calibri"/>
                <w:color w:val="000000"/>
                <w:sz w:val="20"/>
                <w:szCs w:val="20"/>
                <w:lang w:val="en-US" w:eastAsia="en-US"/>
              </w:rPr>
              <w:t xml:space="preserve">under </w:t>
            </w:r>
            <w:r w:rsidRPr="004C19E9">
              <w:rPr>
                <w:rFonts w:ascii="Calibri" w:eastAsia="Times New Roman" w:hAnsi="Calibri" w:cs="Calibri"/>
                <w:color w:val="000000"/>
                <w:sz w:val="20"/>
                <w:szCs w:val="20"/>
                <w:lang w:val="en-US" w:eastAsia="en-US"/>
              </w:rPr>
              <w:t>5</w:t>
            </w:r>
            <w:r w:rsidR="0062025E">
              <w:rPr>
                <w:rFonts w:ascii="Calibri" w:eastAsia="Times New Roman" w:hAnsi="Calibri" w:cs="Calibri"/>
                <w:color w:val="000000"/>
                <w:sz w:val="20"/>
                <w:szCs w:val="20"/>
                <w:lang w:val="en-US" w:eastAsia="en-US"/>
              </w:rPr>
              <w:t xml:space="preserve"> </w:t>
            </w:r>
            <w:r w:rsidRPr="004C19E9">
              <w:rPr>
                <w:rFonts w:ascii="Calibri" w:eastAsia="Times New Roman" w:hAnsi="Calibri" w:cs="Calibri"/>
                <w:color w:val="000000"/>
                <w:sz w:val="20"/>
                <w:szCs w:val="20"/>
                <w:lang w:val="en-US" w:eastAsia="en-US"/>
              </w:rPr>
              <w:t>years</w:t>
            </w:r>
          </w:p>
        </w:tc>
        <w:tc>
          <w:tcPr>
            <w:tcW w:w="733" w:type="pct"/>
            <w:gridSpan w:val="2"/>
            <w:tcBorders>
              <w:top w:val="nil"/>
              <w:left w:val="nil"/>
              <w:bottom w:val="single" w:sz="4" w:space="0" w:color="auto"/>
              <w:right w:val="single" w:sz="4" w:space="0" w:color="auto"/>
            </w:tcBorders>
            <w:shd w:val="clear" w:color="000000" w:fill="FFFFFF"/>
            <w:hideMark/>
          </w:tcPr>
          <w:p w14:paraId="76300341"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CRVS, Population-based surveys</w:t>
            </w:r>
          </w:p>
        </w:tc>
        <w:tc>
          <w:tcPr>
            <w:tcW w:w="364" w:type="pct"/>
            <w:vMerge w:val="restart"/>
            <w:tcBorders>
              <w:top w:val="nil"/>
              <w:left w:val="single" w:sz="4" w:space="0" w:color="auto"/>
              <w:bottom w:val="single" w:sz="4" w:space="0" w:color="auto"/>
              <w:right w:val="single" w:sz="4" w:space="0" w:color="auto"/>
            </w:tcBorders>
            <w:shd w:val="clear" w:color="000000" w:fill="FFFFFF"/>
            <w:vAlign w:val="center"/>
            <w:hideMark/>
          </w:tcPr>
          <w:p w14:paraId="2AF9C887" w14:textId="77777777" w:rsidR="004C19E9" w:rsidRPr="004C19E9" w:rsidRDefault="004C19E9" w:rsidP="004C19E9">
            <w:pPr>
              <w:spacing w:after="0" w:line="240" w:lineRule="auto"/>
              <w:jc w:val="center"/>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105</w:t>
            </w:r>
          </w:p>
        </w:tc>
        <w:tc>
          <w:tcPr>
            <w:tcW w:w="300" w:type="pct"/>
            <w:vMerge w:val="restart"/>
            <w:tcBorders>
              <w:top w:val="nil"/>
              <w:left w:val="single" w:sz="4" w:space="0" w:color="auto"/>
              <w:bottom w:val="single" w:sz="4" w:space="0" w:color="auto"/>
              <w:right w:val="single" w:sz="4" w:space="0" w:color="auto"/>
            </w:tcBorders>
            <w:shd w:val="clear" w:color="000000" w:fill="FFFFFF"/>
            <w:vAlign w:val="center"/>
            <w:hideMark/>
          </w:tcPr>
          <w:p w14:paraId="4B8EBCE2" w14:textId="77777777" w:rsidR="004C19E9" w:rsidRPr="004C19E9" w:rsidRDefault="004C19E9" w:rsidP="004C19E9">
            <w:pPr>
              <w:spacing w:after="0" w:line="240" w:lineRule="auto"/>
              <w:jc w:val="center"/>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Yes</w:t>
            </w:r>
          </w:p>
        </w:tc>
        <w:tc>
          <w:tcPr>
            <w:tcW w:w="350" w:type="pct"/>
            <w:vMerge w:val="restart"/>
            <w:tcBorders>
              <w:top w:val="nil"/>
              <w:left w:val="single" w:sz="4" w:space="0" w:color="auto"/>
              <w:bottom w:val="single" w:sz="4" w:space="0" w:color="auto"/>
              <w:right w:val="single" w:sz="4" w:space="0" w:color="auto"/>
            </w:tcBorders>
            <w:shd w:val="clear" w:color="000000" w:fill="FFFFFF"/>
            <w:vAlign w:val="center"/>
            <w:hideMark/>
          </w:tcPr>
          <w:p w14:paraId="3DF0FBC6" w14:textId="77777777" w:rsidR="004C19E9" w:rsidRPr="004C19E9" w:rsidRDefault="004C19E9" w:rsidP="004C19E9">
            <w:pPr>
              <w:spacing w:after="0" w:line="240" w:lineRule="auto"/>
              <w:jc w:val="center"/>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Yes</w:t>
            </w:r>
          </w:p>
        </w:tc>
        <w:tc>
          <w:tcPr>
            <w:tcW w:w="296" w:type="pct"/>
            <w:vMerge w:val="restart"/>
            <w:tcBorders>
              <w:top w:val="nil"/>
              <w:left w:val="single" w:sz="4" w:space="0" w:color="auto"/>
              <w:bottom w:val="single" w:sz="4" w:space="0" w:color="auto"/>
              <w:right w:val="single" w:sz="4" w:space="0" w:color="auto"/>
            </w:tcBorders>
            <w:shd w:val="clear" w:color="000000" w:fill="FFFFFF"/>
            <w:vAlign w:val="center"/>
            <w:hideMark/>
          </w:tcPr>
          <w:p w14:paraId="60F7B451" w14:textId="77777777" w:rsidR="004C19E9" w:rsidRPr="004C19E9" w:rsidRDefault="004C19E9" w:rsidP="004C19E9">
            <w:pPr>
              <w:spacing w:after="0" w:line="240" w:lineRule="auto"/>
              <w:jc w:val="center"/>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3.4.1</w:t>
            </w:r>
          </w:p>
        </w:tc>
      </w:tr>
      <w:tr w:rsidR="001166FA" w:rsidRPr="004C19E9" w14:paraId="70949EA7" w14:textId="77777777" w:rsidTr="001166FA">
        <w:trPr>
          <w:trHeight w:val="735"/>
        </w:trPr>
        <w:tc>
          <w:tcPr>
            <w:tcW w:w="145" w:type="pct"/>
            <w:vMerge/>
            <w:tcBorders>
              <w:top w:val="nil"/>
              <w:left w:val="single" w:sz="4" w:space="0" w:color="auto"/>
              <w:bottom w:val="single" w:sz="4" w:space="0" w:color="auto"/>
              <w:right w:val="single" w:sz="4" w:space="0" w:color="auto"/>
            </w:tcBorders>
            <w:vAlign w:val="center"/>
            <w:hideMark/>
          </w:tcPr>
          <w:p w14:paraId="7B1B7134" w14:textId="77777777" w:rsidR="004C19E9" w:rsidRPr="004C19E9" w:rsidRDefault="004C19E9" w:rsidP="004C19E9">
            <w:pPr>
              <w:spacing w:after="0" w:line="240" w:lineRule="auto"/>
              <w:rPr>
                <w:rFonts w:ascii="Calibri" w:eastAsia="Times New Roman" w:hAnsi="Calibri" w:cs="Calibri"/>
                <w:b/>
                <w:bCs/>
                <w:color w:val="000000"/>
                <w:sz w:val="20"/>
                <w:szCs w:val="20"/>
                <w:lang w:val="en-US" w:eastAsia="en-US"/>
              </w:rPr>
            </w:pPr>
          </w:p>
        </w:tc>
        <w:tc>
          <w:tcPr>
            <w:tcW w:w="1142" w:type="pct"/>
            <w:vMerge/>
            <w:tcBorders>
              <w:top w:val="nil"/>
              <w:left w:val="single" w:sz="4" w:space="0" w:color="auto"/>
              <w:bottom w:val="single" w:sz="4" w:space="0" w:color="auto"/>
              <w:right w:val="single" w:sz="4" w:space="0" w:color="auto"/>
            </w:tcBorders>
            <w:vAlign w:val="center"/>
            <w:hideMark/>
          </w:tcPr>
          <w:p w14:paraId="66D2CA3B"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p>
        </w:tc>
        <w:tc>
          <w:tcPr>
            <w:tcW w:w="471" w:type="pct"/>
            <w:tcBorders>
              <w:top w:val="nil"/>
              <w:left w:val="nil"/>
              <w:bottom w:val="single" w:sz="4" w:space="0" w:color="auto"/>
              <w:right w:val="single" w:sz="4" w:space="0" w:color="auto"/>
            </w:tcBorders>
            <w:shd w:val="clear" w:color="000000" w:fill="FFFFFF"/>
            <w:noWrap/>
            <w:vAlign w:val="center"/>
            <w:hideMark/>
          </w:tcPr>
          <w:p w14:paraId="3FA51A77" w14:textId="77777777" w:rsidR="004C19E9" w:rsidRPr="004C19E9" w:rsidRDefault="004C19E9" w:rsidP="004C19E9">
            <w:pPr>
              <w:spacing w:after="0" w:line="240" w:lineRule="auto"/>
              <w:jc w:val="center"/>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Denominator</w:t>
            </w:r>
          </w:p>
        </w:tc>
        <w:tc>
          <w:tcPr>
            <w:tcW w:w="1199" w:type="pct"/>
            <w:tcBorders>
              <w:top w:val="nil"/>
              <w:left w:val="nil"/>
              <w:bottom w:val="single" w:sz="4" w:space="0" w:color="auto"/>
              <w:right w:val="single" w:sz="4" w:space="0" w:color="auto"/>
            </w:tcBorders>
            <w:shd w:val="clear" w:color="000000" w:fill="FFFFFF"/>
            <w:hideMark/>
          </w:tcPr>
          <w:p w14:paraId="3BF529B0" w14:textId="774C8642" w:rsidR="004C19E9" w:rsidRPr="004C19E9" w:rsidRDefault="004C19E9" w:rsidP="004C19E9">
            <w:pPr>
              <w:spacing w:after="0" w:line="240" w:lineRule="auto"/>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 xml:space="preserve">number of incident cases of pneumonia in persons aged </w:t>
            </w:r>
            <w:r w:rsidR="0062025E">
              <w:rPr>
                <w:rFonts w:ascii="Calibri" w:eastAsia="Times New Roman" w:hAnsi="Calibri" w:cs="Calibri"/>
                <w:color w:val="000000"/>
                <w:sz w:val="20"/>
                <w:szCs w:val="20"/>
                <w:lang w:val="en-US" w:eastAsia="en-US"/>
              </w:rPr>
              <w:t xml:space="preserve">under </w:t>
            </w:r>
            <w:r w:rsidRPr="004C19E9">
              <w:rPr>
                <w:rFonts w:ascii="Calibri" w:eastAsia="Times New Roman" w:hAnsi="Calibri" w:cs="Calibri"/>
                <w:color w:val="000000"/>
                <w:sz w:val="20"/>
                <w:szCs w:val="20"/>
                <w:lang w:val="en-US" w:eastAsia="en-US"/>
              </w:rPr>
              <w:t>5 years</w:t>
            </w:r>
          </w:p>
        </w:tc>
        <w:tc>
          <w:tcPr>
            <w:tcW w:w="733" w:type="pct"/>
            <w:gridSpan w:val="2"/>
            <w:tcBorders>
              <w:top w:val="nil"/>
              <w:left w:val="nil"/>
              <w:bottom w:val="single" w:sz="4" w:space="0" w:color="auto"/>
              <w:right w:val="single" w:sz="4" w:space="0" w:color="auto"/>
            </w:tcBorders>
            <w:shd w:val="clear" w:color="000000" w:fill="FFFFFF"/>
            <w:hideMark/>
          </w:tcPr>
          <w:p w14:paraId="474D1257" w14:textId="0039EE89" w:rsidR="004C19E9" w:rsidRPr="004C19E9" w:rsidRDefault="004C19E9" w:rsidP="004C19E9">
            <w:pPr>
              <w:spacing w:after="0" w:line="240" w:lineRule="auto"/>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National surveillance, Population-</w:t>
            </w:r>
            <w:r w:rsidR="002A2174" w:rsidRPr="004C19E9">
              <w:rPr>
                <w:rFonts w:ascii="Calibri" w:eastAsia="Times New Roman" w:hAnsi="Calibri" w:cs="Calibri"/>
                <w:color w:val="000000"/>
                <w:sz w:val="20"/>
                <w:szCs w:val="20"/>
                <w:lang w:val="en-US" w:eastAsia="en-US"/>
              </w:rPr>
              <w:t>based surveys</w:t>
            </w:r>
          </w:p>
        </w:tc>
        <w:tc>
          <w:tcPr>
            <w:tcW w:w="364" w:type="pct"/>
            <w:vMerge/>
            <w:tcBorders>
              <w:top w:val="nil"/>
              <w:left w:val="single" w:sz="4" w:space="0" w:color="auto"/>
              <w:bottom w:val="single" w:sz="4" w:space="0" w:color="auto"/>
              <w:right w:val="single" w:sz="4" w:space="0" w:color="auto"/>
            </w:tcBorders>
            <w:vAlign w:val="center"/>
            <w:hideMark/>
          </w:tcPr>
          <w:p w14:paraId="72C55F6E"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p>
        </w:tc>
        <w:tc>
          <w:tcPr>
            <w:tcW w:w="300" w:type="pct"/>
            <w:vMerge/>
            <w:tcBorders>
              <w:top w:val="nil"/>
              <w:left w:val="single" w:sz="4" w:space="0" w:color="auto"/>
              <w:bottom w:val="single" w:sz="4" w:space="0" w:color="auto"/>
              <w:right w:val="single" w:sz="4" w:space="0" w:color="auto"/>
            </w:tcBorders>
            <w:vAlign w:val="center"/>
            <w:hideMark/>
          </w:tcPr>
          <w:p w14:paraId="18EAF846"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p>
        </w:tc>
        <w:tc>
          <w:tcPr>
            <w:tcW w:w="350" w:type="pct"/>
            <w:vMerge/>
            <w:tcBorders>
              <w:top w:val="nil"/>
              <w:left w:val="single" w:sz="4" w:space="0" w:color="auto"/>
              <w:bottom w:val="single" w:sz="4" w:space="0" w:color="auto"/>
              <w:right w:val="single" w:sz="4" w:space="0" w:color="auto"/>
            </w:tcBorders>
            <w:vAlign w:val="center"/>
            <w:hideMark/>
          </w:tcPr>
          <w:p w14:paraId="09434BE8"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p>
        </w:tc>
        <w:tc>
          <w:tcPr>
            <w:tcW w:w="296" w:type="pct"/>
            <w:vMerge/>
            <w:tcBorders>
              <w:top w:val="nil"/>
              <w:left w:val="single" w:sz="4" w:space="0" w:color="auto"/>
              <w:bottom w:val="single" w:sz="4" w:space="0" w:color="auto"/>
              <w:right w:val="single" w:sz="4" w:space="0" w:color="auto"/>
            </w:tcBorders>
            <w:vAlign w:val="center"/>
            <w:hideMark/>
          </w:tcPr>
          <w:p w14:paraId="75C3B8C7"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p>
        </w:tc>
      </w:tr>
      <w:tr w:rsidR="001166FA" w:rsidRPr="004C19E9" w14:paraId="3666691A" w14:textId="77777777" w:rsidTr="001166FA">
        <w:trPr>
          <w:trHeight w:val="750"/>
        </w:trPr>
        <w:tc>
          <w:tcPr>
            <w:tcW w:w="145"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10977052" w14:textId="77777777" w:rsidR="004C19E9" w:rsidRPr="004C19E9" w:rsidRDefault="004C19E9" w:rsidP="004C19E9">
            <w:pPr>
              <w:spacing w:after="0" w:line="240" w:lineRule="auto"/>
              <w:jc w:val="center"/>
              <w:rPr>
                <w:rFonts w:ascii="Calibri" w:eastAsia="Times New Roman" w:hAnsi="Calibri" w:cs="Calibri"/>
                <w:b/>
                <w:bCs/>
                <w:color w:val="000000"/>
                <w:sz w:val="20"/>
                <w:szCs w:val="20"/>
                <w:lang w:val="en-US" w:eastAsia="en-US"/>
              </w:rPr>
            </w:pPr>
            <w:r w:rsidRPr="004C19E9">
              <w:rPr>
                <w:rFonts w:ascii="Calibri" w:eastAsia="Times New Roman" w:hAnsi="Calibri" w:cs="Calibri"/>
                <w:b/>
                <w:bCs/>
                <w:color w:val="000000"/>
                <w:sz w:val="20"/>
                <w:szCs w:val="20"/>
                <w:lang w:val="en-US" w:eastAsia="en-US"/>
              </w:rPr>
              <w:t>14</w:t>
            </w:r>
          </w:p>
        </w:tc>
        <w:tc>
          <w:tcPr>
            <w:tcW w:w="1142" w:type="pct"/>
            <w:vMerge w:val="restart"/>
            <w:tcBorders>
              <w:top w:val="nil"/>
              <w:left w:val="single" w:sz="4" w:space="0" w:color="auto"/>
              <w:bottom w:val="single" w:sz="4" w:space="0" w:color="auto"/>
              <w:right w:val="single" w:sz="4" w:space="0" w:color="auto"/>
            </w:tcBorders>
            <w:shd w:val="clear" w:color="000000" w:fill="FFFFFF"/>
            <w:vAlign w:val="center"/>
            <w:hideMark/>
          </w:tcPr>
          <w:p w14:paraId="1CBCB2D0"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 xml:space="preserve">EC treatment of severe acute malnutrition – proxied using the rescaled death to incidence ratio for severe acute malnutrition*.  </w:t>
            </w:r>
          </w:p>
        </w:tc>
        <w:tc>
          <w:tcPr>
            <w:tcW w:w="471" w:type="pct"/>
            <w:tcBorders>
              <w:top w:val="nil"/>
              <w:left w:val="nil"/>
              <w:bottom w:val="single" w:sz="4" w:space="0" w:color="auto"/>
              <w:right w:val="single" w:sz="4" w:space="0" w:color="auto"/>
            </w:tcBorders>
            <w:shd w:val="clear" w:color="000000" w:fill="FFFFFF"/>
            <w:noWrap/>
            <w:vAlign w:val="center"/>
            <w:hideMark/>
          </w:tcPr>
          <w:p w14:paraId="0E2491CF" w14:textId="77777777" w:rsidR="004C19E9" w:rsidRPr="004C19E9" w:rsidRDefault="004C19E9" w:rsidP="004C19E9">
            <w:pPr>
              <w:spacing w:after="0" w:line="240" w:lineRule="auto"/>
              <w:jc w:val="center"/>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Numerator</w:t>
            </w:r>
          </w:p>
        </w:tc>
        <w:tc>
          <w:tcPr>
            <w:tcW w:w="1199" w:type="pct"/>
            <w:tcBorders>
              <w:top w:val="nil"/>
              <w:left w:val="nil"/>
              <w:bottom w:val="single" w:sz="4" w:space="0" w:color="auto"/>
              <w:right w:val="single" w:sz="4" w:space="0" w:color="auto"/>
            </w:tcBorders>
            <w:shd w:val="clear" w:color="000000" w:fill="FFFFFF"/>
            <w:hideMark/>
          </w:tcPr>
          <w:p w14:paraId="2BFA672D"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number of deaths due to severe acute malnutrition</w:t>
            </w:r>
          </w:p>
        </w:tc>
        <w:tc>
          <w:tcPr>
            <w:tcW w:w="733" w:type="pct"/>
            <w:gridSpan w:val="2"/>
            <w:tcBorders>
              <w:top w:val="nil"/>
              <w:left w:val="nil"/>
              <w:bottom w:val="single" w:sz="4" w:space="0" w:color="auto"/>
              <w:right w:val="single" w:sz="4" w:space="0" w:color="auto"/>
            </w:tcBorders>
            <w:shd w:val="clear" w:color="000000" w:fill="FFFFFF"/>
            <w:hideMark/>
          </w:tcPr>
          <w:p w14:paraId="4054ECEF"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CRVS, Population-based surveys</w:t>
            </w:r>
          </w:p>
        </w:tc>
        <w:tc>
          <w:tcPr>
            <w:tcW w:w="364" w:type="pct"/>
            <w:vMerge w:val="restart"/>
            <w:tcBorders>
              <w:top w:val="nil"/>
              <w:left w:val="single" w:sz="4" w:space="0" w:color="auto"/>
              <w:bottom w:val="single" w:sz="4" w:space="0" w:color="auto"/>
              <w:right w:val="single" w:sz="4" w:space="0" w:color="auto"/>
            </w:tcBorders>
            <w:shd w:val="clear" w:color="000000" w:fill="FFFFFF"/>
            <w:vAlign w:val="center"/>
            <w:hideMark/>
          </w:tcPr>
          <w:p w14:paraId="15126086" w14:textId="77777777" w:rsidR="004C19E9" w:rsidRPr="004C19E9" w:rsidRDefault="004C19E9" w:rsidP="004C19E9">
            <w:pPr>
              <w:spacing w:after="0" w:line="240" w:lineRule="auto"/>
              <w:jc w:val="center"/>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105</w:t>
            </w:r>
          </w:p>
        </w:tc>
        <w:tc>
          <w:tcPr>
            <w:tcW w:w="300" w:type="pct"/>
            <w:vMerge w:val="restart"/>
            <w:tcBorders>
              <w:top w:val="nil"/>
              <w:left w:val="single" w:sz="4" w:space="0" w:color="auto"/>
              <w:bottom w:val="single" w:sz="4" w:space="0" w:color="auto"/>
              <w:right w:val="single" w:sz="4" w:space="0" w:color="auto"/>
            </w:tcBorders>
            <w:shd w:val="clear" w:color="000000" w:fill="FFFFFF"/>
            <w:vAlign w:val="center"/>
            <w:hideMark/>
          </w:tcPr>
          <w:p w14:paraId="7D0DA408" w14:textId="77777777" w:rsidR="004C19E9" w:rsidRPr="004C19E9" w:rsidRDefault="004C19E9" w:rsidP="004C19E9">
            <w:pPr>
              <w:spacing w:after="0" w:line="240" w:lineRule="auto"/>
              <w:jc w:val="center"/>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Yes</w:t>
            </w:r>
          </w:p>
        </w:tc>
        <w:tc>
          <w:tcPr>
            <w:tcW w:w="350" w:type="pct"/>
            <w:vMerge w:val="restart"/>
            <w:tcBorders>
              <w:top w:val="nil"/>
              <w:left w:val="single" w:sz="4" w:space="0" w:color="auto"/>
              <w:bottom w:val="single" w:sz="4" w:space="0" w:color="auto"/>
              <w:right w:val="single" w:sz="4" w:space="0" w:color="auto"/>
            </w:tcBorders>
            <w:shd w:val="clear" w:color="000000" w:fill="FFFFFF"/>
            <w:vAlign w:val="center"/>
            <w:hideMark/>
          </w:tcPr>
          <w:p w14:paraId="0F5ABF52" w14:textId="77777777" w:rsidR="004C19E9" w:rsidRPr="004C19E9" w:rsidRDefault="004C19E9" w:rsidP="004C19E9">
            <w:pPr>
              <w:spacing w:after="0" w:line="240" w:lineRule="auto"/>
              <w:jc w:val="center"/>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Yes</w:t>
            </w:r>
          </w:p>
        </w:tc>
        <w:tc>
          <w:tcPr>
            <w:tcW w:w="296" w:type="pct"/>
            <w:vMerge w:val="restart"/>
            <w:tcBorders>
              <w:top w:val="nil"/>
              <w:left w:val="single" w:sz="4" w:space="0" w:color="auto"/>
              <w:bottom w:val="single" w:sz="4" w:space="0" w:color="auto"/>
              <w:right w:val="single" w:sz="4" w:space="0" w:color="auto"/>
            </w:tcBorders>
            <w:shd w:val="clear" w:color="000000" w:fill="FFFFFF"/>
            <w:vAlign w:val="center"/>
            <w:hideMark/>
          </w:tcPr>
          <w:p w14:paraId="276A5C5F" w14:textId="77777777" w:rsidR="004C19E9" w:rsidRPr="004C19E9" w:rsidRDefault="004C19E9" w:rsidP="004C19E9">
            <w:pPr>
              <w:spacing w:after="0" w:line="240" w:lineRule="auto"/>
              <w:jc w:val="center"/>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 </w:t>
            </w:r>
          </w:p>
        </w:tc>
      </w:tr>
      <w:tr w:rsidR="001166FA" w:rsidRPr="004C19E9" w14:paraId="21E2DC0D" w14:textId="77777777" w:rsidTr="001166FA">
        <w:trPr>
          <w:trHeight w:val="600"/>
        </w:trPr>
        <w:tc>
          <w:tcPr>
            <w:tcW w:w="145" w:type="pct"/>
            <w:vMerge/>
            <w:tcBorders>
              <w:top w:val="nil"/>
              <w:left w:val="single" w:sz="4" w:space="0" w:color="auto"/>
              <w:bottom w:val="single" w:sz="4" w:space="0" w:color="auto"/>
              <w:right w:val="single" w:sz="4" w:space="0" w:color="auto"/>
            </w:tcBorders>
            <w:vAlign w:val="center"/>
            <w:hideMark/>
          </w:tcPr>
          <w:p w14:paraId="11DAD3F4" w14:textId="77777777" w:rsidR="004C19E9" w:rsidRPr="004C19E9" w:rsidRDefault="004C19E9" w:rsidP="004C19E9">
            <w:pPr>
              <w:spacing w:after="0" w:line="240" w:lineRule="auto"/>
              <w:rPr>
                <w:rFonts w:ascii="Calibri" w:eastAsia="Times New Roman" w:hAnsi="Calibri" w:cs="Calibri"/>
                <w:b/>
                <w:bCs/>
                <w:color w:val="000000"/>
                <w:sz w:val="20"/>
                <w:szCs w:val="20"/>
                <w:lang w:val="en-US" w:eastAsia="en-US"/>
              </w:rPr>
            </w:pPr>
          </w:p>
        </w:tc>
        <w:tc>
          <w:tcPr>
            <w:tcW w:w="1142" w:type="pct"/>
            <w:vMerge/>
            <w:tcBorders>
              <w:top w:val="nil"/>
              <w:left w:val="single" w:sz="4" w:space="0" w:color="auto"/>
              <w:bottom w:val="single" w:sz="4" w:space="0" w:color="auto"/>
              <w:right w:val="single" w:sz="4" w:space="0" w:color="auto"/>
            </w:tcBorders>
            <w:vAlign w:val="center"/>
            <w:hideMark/>
          </w:tcPr>
          <w:p w14:paraId="1301F263"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p>
        </w:tc>
        <w:tc>
          <w:tcPr>
            <w:tcW w:w="471" w:type="pct"/>
            <w:tcBorders>
              <w:top w:val="nil"/>
              <w:left w:val="nil"/>
              <w:bottom w:val="single" w:sz="4" w:space="0" w:color="auto"/>
              <w:right w:val="single" w:sz="4" w:space="0" w:color="auto"/>
            </w:tcBorders>
            <w:shd w:val="clear" w:color="000000" w:fill="FFFFFF"/>
            <w:noWrap/>
            <w:vAlign w:val="center"/>
            <w:hideMark/>
          </w:tcPr>
          <w:p w14:paraId="4CBC8306" w14:textId="77777777" w:rsidR="004C19E9" w:rsidRPr="004C19E9" w:rsidRDefault="004C19E9" w:rsidP="004C19E9">
            <w:pPr>
              <w:spacing w:after="0" w:line="240" w:lineRule="auto"/>
              <w:jc w:val="center"/>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Denominator</w:t>
            </w:r>
          </w:p>
        </w:tc>
        <w:tc>
          <w:tcPr>
            <w:tcW w:w="1199" w:type="pct"/>
            <w:tcBorders>
              <w:top w:val="nil"/>
              <w:left w:val="nil"/>
              <w:bottom w:val="single" w:sz="4" w:space="0" w:color="auto"/>
              <w:right w:val="single" w:sz="4" w:space="0" w:color="auto"/>
            </w:tcBorders>
            <w:shd w:val="clear" w:color="000000" w:fill="FFFFFF"/>
            <w:hideMark/>
          </w:tcPr>
          <w:p w14:paraId="76FB6CD2"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number of incident cases of severe acute malnutrition</w:t>
            </w:r>
          </w:p>
        </w:tc>
        <w:tc>
          <w:tcPr>
            <w:tcW w:w="733" w:type="pct"/>
            <w:gridSpan w:val="2"/>
            <w:tcBorders>
              <w:top w:val="nil"/>
              <w:left w:val="nil"/>
              <w:bottom w:val="single" w:sz="4" w:space="0" w:color="auto"/>
              <w:right w:val="single" w:sz="4" w:space="0" w:color="auto"/>
            </w:tcBorders>
            <w:shd w:val="clear" w:color="000000" w:fill="FFFFFF"/>
            <w:hideMark/>
          </w:tcPr>
          <w:p w14:paraId="268AA6DB" w14:textId="674244E6" w:rsidR="004C19E9" w:rsidRPr="004C19E9" w:rsidRDefault="004C19E9" w:rsidP="004C19E9">
            <w:pPr>
              <w:spacing w:after="0" w:line="240" w:lineRule="auto"/>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National surveillance, Population-</w:t>
            </w:r>
            <w:r w:rsidR="002A2174" w:rsidRPr="004C19E9">
              <w:rPr>
                <w:rFonts w:ascii="Calibri" w:eastAsia="Times New Roman" w:hAnsi="Calibri" w:cs="Calibri"/>
                <w:color w:val="000000"/>
                <w:sz w:val="20"/>
                <w:szCs w:val="20"/>
                <w:lang w:val="en-US" w:eastAsia="en-US"/>
              </w:rPr>
              <w:t>based surveys</w:t>
            </w:r>
          </w:p>
        </w:tc>
        <w:tc>
          <w:tcPr>
            <w:tcW w:w="364" w:type="pct"/>
            <w:vMerge/>
            <w:tcBorders>
              <w:top w:val="nil"/>
              <w:left w:val="single" w:sz="4" w:space="0" w:color="auto"/>
              <w:bottom w:val="single" w:sz="4" w:space="0" w:color="auto"/>
              <w:right w:val="single" w:sz="4" w:space="0" w:color="auto"/>
            </w:tcBorders>
            <w:vAlign w:val="center"/>
            <w:hideMark/>
          </w:tcPr>
          <w:p w14:paraId="302FEF0F"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p>
        </w:tc>
        <w:tc>
          <w:tcPr>
            <w:tcW w:w="300" w:type="pct"/>
            <w:vMerge/>
            <w:tcBorders>
              <w:top w:val="nil"/>
              <w:left w:val="single" w:sz="4" w:space="0" w:color="auto"/>
              <w:bottom w:val="single" w:sz="4" w:space="0" w:color="auto"/>
              <w:right w:val="single" w:sz="4" w:space="0" w:color="auto"/>
            </w:tcBorders>
            <w:vAlign w:val="center"/>
            <w:hideMark/>
          </w:tcPr>
          <w:p w14:paraId="39F2E193"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p>
        </w:tc>
        <w:tc>
          <w:tcPr>
            <w:tcW w:w="350" w:type="pct"/>
            <w:vMerge/>
            <w:tcBorders>
              <w:top w:val="nil"/>
              <w:left w:val="single" w:sz="4" w:space="0" w:color="auto"/>
              <w:bottom w:val="single" w:sz="4" w:space="0" w:color="auto"/>
              <w:right w:val="single" w:sz="4" w:space="0" w:color="auto"/>
            </w:tcBorders>
            <w:vAlign w:val="center"/>
            <w:hideMark/>
          </w:tcPr>
          <w:p w14:paraId="35C4970D"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p>
        </w:tc>
        <w:tc>
          <w:tcPr>
            <w:tcW w:w="296" w:type="pct"/>
            <w:vMerge/>
            <w:tcBorders>
              <w:top w:val="nil"/>
              <w:left w:val="single" w:sz="4" w:space="0" w:color="auto"/>
              <w:bottom w:val="single" w:sz="4" w:space="0" w:color="auto"/>
              <w:right w:val="single" w:sz="4" w:space="0" w:color="auto"/>
            </w:tcBorders>
            <w:vAlign w:val="center"/>
            <w:hideMark/>
          </w:tcPr>
          <w:p w14:paraId="51E38E9C"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p>
        </w:tc>
      </w:tr>
      <w:tr w:rsidR="001166FA" w:rsidRPr="004C19E9" w14:paraId="1642B484" w14:textId="77777777" w:rsidTr="001166FA">
        <w:trPr>
          <w:trHeight w:val="585"/>
        </w:trPr>
        <w:tc>
          <w:tcPr>
            <w:tcW w:w="145"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1720AF59" w14:textId="77777777" w:rsidR="004C19E9" w:rsidRPr="004C19E9" w:rsidRDefault="004C19E9" w:rsidP="004C19E9">
            <w:pPr>
              <w:spacing w:after="0" w:line="240" w:lineRule="auto"/>
              <w:jc w:val="center"/>
              <w:rPr>
                <w:rFonts w:ascii="Calibri" w:eastAsia="Times New Roman" w:hAnsi="Calibri" w:cs="Calibri"/>
                <w:b/>
                <w:bCs/>
                <w:color w:val="000000"/>
                <w:sz w:val="20"/>
                <w:szCs w:val="20"/>
                <w:lang w:val="en-US" w:eastAsia="en-US"/>
              </w:rPr>
            </w:pPr>
            <w:r w:rsidRPr="004C19E9">
              <w:rPr>
                <w:rFonts w:ascii="Calibri" w:eastAsia="Times New Roman" w:hAnsi="Calibri" w:cs="Calibri"/>
                <w:b/>
                <w:bCs/>
                <w:color w:val="000000"/>
                <w:sz w:val="20"/>
                <w:szCs w:val="20"/>
                <w:lang w:val="en-US" w:eastAsia="en-US"/>
              </w:rPr>
              <w:t>15</w:t>
            </w:r>
          </w:p>
        </w:tc>
        <w:tc>
          <w:tcPr>
            <w:tcW w:w="1142" w:type="pct"/>
            <w:vMerge w:val="restart"/>
            <w:tcBorders>
              <w:top w:val="nil"/>
              <w:left w:val="single" w:sz="4" w:space="0" w:color="auto"/>
              <w:bottom w:val="single" w:sz="4" w:space="0" w:color="auto"/>
              <w:right w:val="single" w:sz="4" w:space="0" w:color="auto"/>
            </w:tcBorders>
            <w:shd w:val="clear" w:color="000000" w:fill="FFFFFF"/>
            <w:vAlign w:val="center"/>
            <w:hideMark/>
          </w:tcPr>
          <w:p w14:paraId="5BF3ADE4" w14:textId="068104DA" w:rsidR="004C19E9" w:rsidRPr="004C19E9" w:rsidRDefault="004C19E9" w:rsidP="004C19E9">
            <w:pPr>
              <w:spacing w:after="0" w:line="240" w:lineRule="auto"/>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EC treatment for</w:t>
            </w:r>
            <w:r w:rsidR="00450F4F">
              <w:rPr>
                <w:rFonts w:ascii="Calibri" w:eastAsia="Times New Roman" w:hAnsi="Calibri" w:cs="Calibri"/>
                <w:color w:val="000000"/>
                <w:sz w:val="20"/>
                <w:szCs w:val="20"/>
                <w:lang w:val="en-US" w:eastAsia="en-US"/>
              </w:rPr>
              <w:t xml:space="preserve"> diarrhoea – proxied using the </w:t>
            </w:r>
            <w:r w:rsidRPr="004C19E9">
              <w:rPr>
                <w:rFonts w:ascii="Calibri" w:eastAsia="Times New Roman" w:hAnsi="Calibri" w:cs="Calibri"/>
                <w:color w:val="000000"/>
                <w:sz w:val="20"/>
                <w:szCs w:val="20"/>
                <w:lang w:val="en-US" w:eastAsia="en-US"/>
              </w:rPr>
              <w:t xml:space="preserve">death to incidence ratio for diarrhoea*.  </w:t>
            </w:r>
          </w:p>
        </w:tc>
        <w:tc>
          <w:tcPr>
            <w:tcW w:w="471" w:type="pct"/>
            <w:tcBorders>
              <w:top w:val="nil"/>
              <w:left w:val="nil"/>
              <w:bottom w:val="single" w:sz="4" w:space="0" w:color="auto"/>
              <w:right w:val="single" w:sz="4" w:space="0" w:color="auto"/>
            </w:tcBorders>
            <w:shd w:val="clear" w:color="000000" w:fill="FFFFFF"/>
            <w:noWrap/>
            <w:vAlign w:val="center"/>
            <w:hideMark/>
          </w:tcPr>
          <w:p w14:paraId="2E62E563" w14:textId="77777777" w:rsidR="004C19E9" w:rsidRPr="004C19E9" w:rsidRDefault="004C19E9" w:rsidP="004C19E9">
            <w:pPr>
              <w:spacing w:after="0" w:line="240" w:lineRule="auto"/>
              <w:jc w:val="center"/>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Numerator</w:t>
            </w:r>
          </w:p>
        </w:tc>
        <w:tc>
          <w:tcPr>
            <w:tcW w:w="1199" w:type="pct"/>
            <w:tcBorders>
              <w:top w:val="nil"/>
              <w:left w:val="nil"/>
              <w:bottom w:val="single" w:sz="4" w:space="0" w:color="auto"/>
              <w:right w:val="single" w:sz="4" w:space="0" w:color="auto"/>
            </w:tcBorders>
            <w:shd w:val="clear" w:color="000000" w:fill="FFFFFF"/>
            <w:hideMark/>
          </w:tcPr>
          <w:p w14:paraId="2306CD79"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number of deaths due to diarrhoea</w:t>
            </w:r>
          </w:p>
        </w:tc>
        <w:tc>
          <w:tcPr>
            <w:tcW w:w="733" w:type="pct"/>
            <w:gridSpan w:val="2"/>
            <w:tcBorders>
              <w:top w:val="nil"/>
              <w:left w:val="nil"/>
              <w:bottom w:val="single" w:sz="4" w:space="0" w:color="auto"/>
              <w:right w:val="single" w:sz="4" w:space="0" w:color="auto"/>
            </w:tcBorders>
            <w:shd w:val="clear" w:color="000000" w:fill="FFFFFF"/>
            <w:hideMark/>
          </w:tcPr>
          <w:p w14:paraId="570571DF"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CRVS</w:t>
            </w:r>
          </w:p>
        </w:tc>
        <w:tc>
          <w:tcPr>
            <w:tcW w:w="364" w:type="pct"/>
            <w:vMerge w:val="restart"/>
            <w:tcBorders>
              <w:top w:val="nil"/>
              <w:left w:val="single" w:sz="4" w:space="0" w:color="auto"/>
              <w:bottom w:val="single" w:sz="4" w:space="0" w:color="auto"/>
              <w:right w:val="single" w:sz="4" w:space="0" w:color="auto"/>
            </w:tcBorders>
            <w:shd w:val="clear" w:color="000000" w:fill="FFFFFF"/>
            <w:vAlign w:val="center"/>
            <w:hideMark/>
          </w:tcPr>
          <w:p w14:paraId="06EE6CD4" w14:textId="77777777" w:rsidR="004C19E9" w:rsidRPr="004C19E9" w:rsidRDefault="004C19E9" w:rsidP="004C19E9">
            <w:pPr>
              <w:spacing w:after="0" w:line="240" w:lineRule="auto"/>
              <w:jc w:val="center"/>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105</w:t>
            </w:r>
          </w:p>
        </w:tc>
        <w:tc>
          <w:tcPr>
            <w:tcW w:w="300" w:type="pct"/>
            <w:vMerge w:val="restart"/>
            <w:tcBorders>
              <w:top w:val="nil"/>
              <w:left w:val="single" w:sz="4" w:space="0" w:color="auto"/>
              <w:bottom w:val="single" w:sz="4" w:space="0" w:color="auto"/>
              <w:right w:val="single" w:sz="4" w:space="0" w:color="auto"/>
            </w:tcBorders>
            <w:shd w:val="clear" w:color="000000" w:fill="FFFFFF"/>
            <w:vAlign w:val="center"/>
            <w:hideMark/>
          </w:tcPr>
          <w:p w14:paraId="03D1BB50" w14:textId="77777777" w:rsidR="004C19E9" w:rsidRPr="004C19E9" w:rsidRDefault="004C19E9" w:rsidP="004C19E9">
            <w:pPr>
              <w:spacing w:after="0" w:line="240" w:lineRule="auto"/>
              <w:jc w:val="center"/>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Yes</w:t>
            </w:r>
          </w:p>
        </w:tc>
        <w:tc>
          <w:tcPr>
            <w:tcW w:w="350" w:type="pct"/>
            <w:vMerge w:val="restart"/>
            <w:tcBorders>
              <w:top w:val="nil"/>
              <w:left w:val="single" w:sz="4" w:space="0" w:color="auto"/>
              <w:bottom w:val="single" w:sz="4" w:space="0" w:color="auto"/>
              <w:right w:val="single" w:sz="4" w:space="0" w:color="auto"/>
            </w:tcBorders>
            <w:shd w:val="clear" w:color="000000" w:fill="FFFFFF"/>
            <w:vAlign w:val="center"/>
            <w:hideMark/>
          </w:tcPr>
          <w:p w14:paraId="200BABAE" w14:textId="77777777" w:rsidR="004C19E9" w:rsidRPr="004C19E9" w:rsidRDefault="004C19E9" w:rsidP="004C19E9">
            <w:pPr>
              <w:spacing w:after="0" w:line="240" w:lineRule="auto"/>
              <w:jc w:val="center"/>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Yes</w:t>
            </w:r>
          </w:p>
        </w:tc>
        <w:tc>
          <w:tcPr>
            <w:tcW w:w="296" w:type="pct"/>
            <w:vMerge w:val="restart"/>
            <w:tcBorders>
              <w:top w:val="nil"/>
              <w:left w:val="single" w:sz="4" w:space="0" w:color="auto"/>
              <w:bottom w:val="single" w:sz="4" w:space="0" w:color="auto"/>
              <w:right w:val="single" w:sz="4" w:space="0" w:color="auto"/>
            </w:tcBorders>
            <w:shd w:val="clear" w:color="000000" w:fill="FFFFFF"/>
            <w:vAlign w:val="center"/>
            <w:hideMark/>
          </w:tcPr>
          <w:p w14:paraId="7AC5EDDA" w14:textId="77777777" w:rsidR="004C19E9" w:rsidRPr="004C19E9" w:rsidRDefault="004C19E9" w:rsidP="004C19E9">
            <w:pPr>
              <w:spacing w:after="0" w:line="240" w:lineRule="auto"/>
              <w:jc w:val="center"/>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3.9.2</w:t>
            </w:r>
          </w:p>
        </w:tc>
      </w:tr>
      <w:tr w:rsidR="001166FA" w:rsidRPr="004C19E9" w14:paraId="1C45E97F" w14:textId="77777777" w:rsidTr="001166FA">
        <w:trPr>
          <w:trHeight w:val="600"/>
        </w:trPr>
        <w:tc>
          <w:tcPr>
            <w:tcW w:w="145" w:type="pct"/>
            <w:vMerge/>
            <w:tcBorders>
              <w:top w:val="nil"/>
              <w:left w:val="single" w:sz="4" w:space="0" w:color="auto"/>
              <w:bottom w:val="single" w:sz="4" w:space="0" w:color="auto"/>
              <w:right w:val="single" w:sz="4" w:space="0" w:color="auto"/>
            </w:tcBorders>
            <w:vAlign w:val="center"/>
            <w:hideMark/>
          </w:tcPr>
          <w:p w14:paraId="1813EA39" w14:textId="77777777" w:rsidR="004C19E9" w:rsidRPr="004C19E9" w:rsidRDefault="004C19E9" w:rsidP="004C19E9">
            <w:pPr>
              <w:spacing w:after="0" w:line="240" w:lineRule="auto"/>
              <w:rPr>
                <w:rFonts w:ascii="Calibri" w:eastAsia="Times New Roman" w:hAnsi="Calibri" w:cs="Calibri"/>
                <w:b/>
                <w:bCs/>
                <w:color w:val="000000"/>
                <w:sz w:val="20"/>
                <w:szCs w:val="20"/>
                <w:lang w:val="en-US" w:eastAsia="en-US"/>
              </w:rPr>
            </w:pPr>
          </w:p>
        </w:tc>
        <w:tc>
          <w:tcPr>
            <w:tcW w:w="1142" w:type="pct"/>
            <w:vMerge/>
            <w:tcBorders>
              <w:top w:val="nil"/>
              <w:left w:val="single" w:sz="4" w:space="0" w:color="auto"/>
              <w:bottom w:val="single" w:sz="4" w:space="0" w:color="auto"/>
              <w:right w:val="single" w:sz="4" w:space="0" w:color="auto"/>
            </w:tcBorders>
            <w:vAlign w:val="center"/>
            <w:hideMark/>
          </w:tcPr>
          <w:p w14:paraId="4F0D3E02"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p>
        </w:tc>
        <w:tc>
          <w:tcPr>
            <w:tcW w:w="471" w:type="pct"/>
            <w:tcBorders>
              <w:top w:val="nil"/>
              <w:left w:val="nil"/>
              <w:bottom w:val="single" w:sz="4" w:space="0" w:color="auto"/>
              <w:right w:val="single" w:sz="4" w:space="0" w:color="auto"/>
            </w:tcBorders>
            <w:shd w:val="clear" w:color="000000" w:fill="FFFFFF"/>
            <w:noWrap/>
            <w:vAlign w:val="center"/>
            <w:hideMark/>
          </w:tcPr>
          <w:p w14:paraId="4A10C07F" w14:textId="77777777" w:rsidR="004C19E9" w:rsidRPr="004C19E9" w:rsidRDefault="004C19E9" w:rsidP="004C19E9">
            <w:pPr>
              <w:spacing w:after="0" w:line="240" w:lineRule="auto"/>
              <w:jc w:val="center"/>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Denominator</w:t>
            </w:r>
          </w:p>
        </w:tc>
        <w:tc>
          <w:tcPr>
            <w:tcW w:w="1199" w:type="pct"/>
            <w:tcBorders>
              <w:top w:val="nil"/>
              <w:left w:val="nil"/>
              <w:bottom w:val="single" w:sz="4" w:space="0" w:color="auto"/>
              <w:right w:val="single" w:sz="4" w:space="0" w:color="auto"/>
            </w:tcBorders>
            <w:shd w:val="clear" w:color="000000" w:fill="FFFFFF"/>
            <w:hideMark/>
          </w:tcPr>
          <w:p w14:paraId="7FB5A5F2"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number of incident cases of diarrhoea</w:t>
            </w:r>
          </w:p>
        </w:tc>
        <w:tc>
          <w:tcPr>
            <w:tcW w:w="733" w:type="pct"/>
            <w:gridSpan w:val="2"/>
            <w:tcBorders>
              <w:top w:val="nil"/>
              <w:left w:val="nil"/>
              <w:bottom w:val="single" w:sz="4" w:space="0" w:color="auto"/>
              <w:right w:val="single" w:sz="4" w:space="0" w:color="auto"/>
            </w:tcBorders>
            <w:shd w:val="clear" w:color="000000" w:fill="FFFFFF"/>
            <w:hideMark/>
          </w:tcPr>
          <w:p w14:paraId="76AC1EA3" w14:textId="3D0F1F8B" w:rsidR="004C19E9" w:rsidRPr="004C19E9" w:rsidRDefault="004C19E9" w:rsidP="004C19E9">
            <w:pPr>
              <w:spacing w:after="0" w:line="240" w:lineRule="auto"/>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National surveillance, Population-</w:t>
            </w:r>
            <w:r w:rsidR="002A2174" w:rsidRPr="004C19E9">
              <w:rPr>
                <w:rFonts w:ascii="Calibri" w:eastAsia="Times New Roman" w:hAnsi="Calibri" w:cs="Calibri"/>
                <w:color w:val="000000"/>
                <w:sz w:val="20"/>
                <w:szCs w:val="20"/>
                <w:lang w:val="en-US" w:eastAsia="en-US"/>
              </w:rPr>
              <w:t>based surveys</w:t>
            </w:r>
          </w:p>
        </w:tc>
        <w:tc>
          <w:tcPr>
            <w:tcW w:w="364" w:type="pct"/>
            <w:vMerge/>
            <w:tcBorders>
              <w:top w:val="nil"/>
              <w:left w:val="single" w:sz="4" w:space="0" w:color="auto"/>
              <w:bottom w:val="single" w:sz="4" w:space="0" w:color="auto"/>
              <w:right w:val="single" w:sz="4" w:space="0" w:color="auto"/>
            </w:tcBorders>
            <w:vAlign w:val="center"/>
            <w:hideMark/>
          </w:tcPr>
          <w:p w14:paraId="44203871"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p>
        </w:tc>
        <w:tc>
          <w:tcPr>
            <w:tcW w:w="300" w:type="pct"/>
            <w:vMerge/>
            <w:tcBorders>
              <w:top w:val="nil"/>
              <w:left w:val="single" w:sz="4" w:space="0" w:color="auto"/>
              <w:bottom w:val="single" w:sz="4" w:space="0" w:color="auto"/>
              <w:right w:val="single" w:sz="4" w:space="0" w:color="auto"/>
            </w:tcBorders>
            <w:vAlign w:val="center"/>
            <w:hideMark/>
          </w:tcPr>
          <w:p w14:paraId="2322302D"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p>
        </w:tc>
        <w:tc>
          <w:tcPr>
            <w:tcW w:w="350" w:type="pct"/>
            <w:vMerge/>
            <w:tcBorders>
              <w:top w:val="nil"/>
              <w:left w:val="single" w:sz="4" w:space="0" w:color="auto"/>
              <w:bottom w:val="single" w:sz="4" w:space="0" w:color="auto"/>
              <w:right w:val="single" w:sz="4" w:space="0" w:color="auto"/>
            </w:tcBorders>
            <w:vAlign w:val="center"/>
            <w:hideMark/>
          </w:tcPr>
          <w:p w14:paraId="719F021D"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p>
        </w:tc>
        <w:tc>
          <w:tcPr>
            <w:tcW w:w="296" w:type="pct"/>
            <w:vMerge/>
            <w:tcBorders>
              <w:top w:val="nil"/>
              <w:left w:val="single" w:sz="4" w:space="0" w:color="auto"/>
              <w:bottom w:val="single" w:sz="4" w:space="0" w:color="auto"/>
              <w:right w:val="single" w:sz="4" w:space="0" w:color="auto"/>
            </w:tcBorders>
            <w:vAlign w:val="center"/>
            <w:hideMark/>
          </w:tcPr>
          <w:p w14:paraId="7C211595"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p>
        </w:tc>
      </w:tr>
      <w:tr w:rsidR="001166FA" w:rsidRPr="004C19E9" w14:paraId="3CD77735" w14:textId="77777777" w:rsidTr="001166FA">
        <w:trPr>
          <w:trHeight w:val="765"/>
        </w:trPr>
        <w:tc>
          <w:tcPr>
            <w:tcW w:w="145"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411B640F" w14:textId="77777777" w:rsidR="004C19E9" w:rsidRPr="004C19E9" w:rsidRDefault="004C19E9" w:rsidP="004C19E9">
            <w:pPr>
              <w:spacing w:after="0" w:line="240" w:lineRule="auto"/>
              <w:jc w:val="center"/>
              <w:rPr>
                <w:rFonts w:ascii="Calibri" w:eastAsia="Times New Roman" w:hAnsi="Calibri" w:cs="Calibri"/>
                <w:b/>
                <w:bCs/>
                <w:color w:val="000000"/>
                <w:sz w:val="20"/>
                <w:szCs w:val="20"/>
                <w:lang w:val="en-US" w:eastAsia="en-US"/>
              </w:rPr>
            </w:pPr>
            <w:r w:rsidRPr="004C19E9">
              <w:rPr>
                <w:rFonts w:ascii="Calibri" w:eastAsia="Times New Roman" w:hAnsi="Calibri" w:cs="Calibri"/>
                <w:b/>
                <w:bCs/>
                <w:color w:val="000000"/>
                <w:sz w:val="20"/>
                <w:szCs w:val="20"/>
                <w:lang w:val="en-US" w:eastAsia="en-US"/>
              </w:rPr>
              <w:t>16</w:t>
            </w:r>
          </w:p>
        </w:tc>
        <w:tc>
          <w:tcPr>
            <w:tcW w:w="1142" w:type="pct"/>
            <w:vMerge w:val="restart"/>
            <w:tcBorders>
              <w:top w:val="nil"/>
              <w:left w:val="single" w:sz="4" w:space="0" w:color="auto"/>
              <w:bottom w:val="single" w:sz="4" w:space="0" w:color="auto"/>
              <w:right w:val="single" w:sz="4" w:space="0" w:color="auto"/>
            </w:tcBorders>
            <w:shd w:val="clear" w:color="000000" w:fill="FFFFFF"/>
            <w:vAlign w:val="center"/>
            <w:hideMark/>
          </w:tcPr>
          <w:p w14:paraId="52DA72C2"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 xml:space="preserve">EC antiretroviral therapy – proxied using the fraction of individuals with HIV/AIDS receiving antiretroviral therapy.  </w:t>
            </w:r>
          </w:p>
        </w:tc>
        <w:tc>
          <w:tcPr>
            <w:tcW w:w="471" w:type="pct"/>
            <w:tcBorders>
              <w:top w:val="nil"/>
              <w:left w:val="nil"/>
              <w:bottom w:val="single" w:sz="4" w:space="0" w:color="auto"/>
              <w:right w:val="single" w:sz="4" w:space="0" w:color="auto"/>
            </w:tcBorders>
            <w:shd w:val="clear" w:color="000000" w:fill="FFFFFF"/>
            <w:noWrap/>
            <w:vAlign w:val="center"/>
            <w:hideMark/>
          </w:tcPr>
          <w:p w14:paraId="2171581E" w14:textId="77777777" w:rsidR="004C19E9" w:rsidRPr="004C19E9" w:rsidRDefault="004C19E9" w:rsidP="004C19E9">
            <w:pPr>
              <w:spacing w:after="0" w:line="240" w:lineRule="auto"/>
              <w:jc w:val="center"/>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Numerator</w:t>
            </w:r>
          </w:p>
        </w:tc>
        <w:tc>
          <w:tcPr>
            <w:tcW w:w="1199" w:type="pct"/>
            <w:tcBorders>
              <w:top w:val="nil"/>
              <w:left w:val="nil"/>
              <w:bottom w:val="single" w:sz="4" w:space="0" w:color="auto"/>
              <w:right w:val="single" w:sz="4" w:space="0" w:color="auto"/>
            </w:tcBorders>
            <w:shd w:val="clear" w:color="000000" w:fill="FFFFFF"/>
            <w:hideMark/>
          </w:tcPr>
          <w:p w14:paraId="144E2FFF"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number of individuals on antiretroviral therapy</w:t>
            </w:r>
          </w:p>
        </w:tc>
        <w:tc>
          <w:tcPr>
            <w:tcW w:w="733" w:type="pct"/>
            <w:gridSpan w:val="2"/>
            <w:tcBorders>
              <w:top w:val="nil"/>
              <w:left w:val="nil"/>
              <w:bottom w:val="single" w:sz="4" w:space="0" w:color="auto"/>
              <w:right w:val="single" w:sz="4" w:space="0" w:color="auto"/>
            </w:tcBorders>
            <w:shd w:val="clear" w:color="000000" w:fill="FFFFFF"/>
            <w:hideMark/>
          </w:tcPr>
          <w:p w14:paraId="16940CDA" w14:textId="32D23792" w:rsidR="004C19E9" w:rsidRPr="004C19E9" w:rsidRDefault="004C19E9" w:rsidP="004C19E9">
            <w:pPr>
              <w:spacing w:after="0" w:line="240" w:lineRule="auto"/>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Facility records/Population-</w:t>
            </w:r>
            <w:r w:rsidR="002A2174" w:rsidRPr="004C19E9">
              <w:rPr>
                <w:rFonts w:ascii="Calibri" w:eastAsia="Times New Roman" w:hAnsi="Calibri" w:cs="Calibri"/>
                <w:color w:val="000000"/>
                <w:sz w:val="20"/>
                <w:szCs w:val="20"/>
                <w:lang w:val="en-US" w:eastAsia="en-US"/>
              </w:rPr>
              <w:t>based surveys</w:t>
            </w:r>
          </w:p>
        </w:tc>
        <w:tc>
          <w:tcPr>
            <w:tcW w:w="364" w:type="pct"/>
            <w:vMerge w:val="restart"/>
            <w:tcBorders>
              <w:top w:val="nil"/>
              <w:left w:val="single" w:sz="4" w:space="0" w:color="auto"/>
              <w:bottom w:val="single" w:sz="4" w:space="0" w:color="auto"/>
              <w:right w:val="single" w:sz="4" w:space="0" w:color="auto"/>
            </w:tcBorders>
            <w:shd w:val="clear" w:color="000000" w:fill="FFFFFF"/>
            <w:vAlign w:val="center"/>
            <w:hideMark/>
          </w:tcPr>
          <w:p w14:paraId="48BDB80C" w14:textId="77777777" w:rsidR="004C19E9" w:rsidRPr="004C19E9" w:rsidRDefault="004C19E9" w:rsidP="004C19E9">
            <w:pPr>
              <w:spacing w:after="0" w:line="240" w:lineRule="auto"/>
              <w:jc w:val="center"/>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136</w:t>
            </w:r>
          </w:p>
        </w:tc>
        <w:tc>
          <w:tcPr>
            <w:tcW w:w="300" w:type="pct"/>
            <w:vMerge w:val="restart"/>
            <w:tcBorders>
              <w:top w:val="nil"/>
              <w:left w:val="single" w:sz="4" w:space="0" w:color="auto"/>
              <w:bottom w:val="single" w:sz="4" w:space="0" w:color="auto"/>
              <w:right w:val="single" w:sz="4" w:space="0" w:color="auto"/>
            </w:tcBorders>
            <w:shd w:val="clear" w:color="000000" w:fill="FFFFFF"/>
            <w:vAlign w:val="center"/>
            <w:hideMark/>
          </w:tcPr>
          <w:p w14:paraId="314A8EAF" w14:textId="77777777" w:rsidR="004C19E9" w:rsidRPr="004C19E9" w:rsidRDefault="004C19E9" w:rsidP="004C19E9">
            <w:pPr>
              <w:spacing w:after="0" w:line="240" w:lineRule="auto"/>
              <w:jc w:val="center"/>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Yes</w:t>
            </w:r>
          </w:p>
        </w:tc>
        <w:tc>
          <w:tcPr>
            <w:tcW w:w="350" w:type="pct"/>
            <w:vMerge w:val="restart"/>
            <w:tcBorders>
              <w:top w:val="nil"/>
              <w:left w:val="single" w:sz="4" w:space="0" w:color="auto"/>
              <w:bottom w:val="single" w:sz="4" w:space="0" w:color="auto"/>
              <w:right w:val="single" w:sz="4" w:space="0" w:color="auto"/>
            </w:tcBorders>
            <w:shd w:val="clear" w:color="000000" w:fill="FFFFFF"/>
            <w:vAlign w:val="center"/>
            <w:hideMark/>
          </w:tcPr>
          <w:p w14:paraId="14509FC0" w14:textId="77777777" w:rsidR="004C19E9" w:rsidRPr="004C19E9" w:rsidRDefault="004C19E9" w:rsidP="004C19E9">
            <w:pPr>
              <w:spacing w:after="0" w:line="240" w:lineRule="auto"/>
              <w:jc w:val="center"/>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Yes</w:t>
            </w:r>
          </w:p>
        </w:tc>
        <w:tc>
          <w:tcPr>
            <w:tcW w:w="296" w:type="pct"/>
            <w:vMerge w:val="restart"/>
            <w:tcBorders>
              <w:top w:val="nil"/>
              <w:left w:val="single" w:sz="4" w:space="0" w:color="auto"/>
              <w:bottom w:val="single" w:sz="4" w:space="0" w:color="auto"/>
              <w:right w:val="single" w:sz="4" w:space="0" w:color="auto"/>
            </w:tcBorders>
            <w:shd w:val="clear" w:color="000000" w:fill="FFFFFF"/>
            <w:vAlign w:val="center"/>
            <w:hideMark/>
          </w:tcPr>
          <w:p w14:paraId="740D49DC" w14:textId="77777777" w:rsidR="004C19E9" w:rsidRPr="004C19E9" w:rsidRDefault="004C19E9" w:rsidP="004C19E9">
            <w:pPr>
              <w:spacing w:after="0" w:line="240" w:lineRule="auto"/>
              <w:jc w:val="center"/>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3.3.1</w:t>
            </w:r>
          </w:p>
        </w:tc>
      </w:tr>
      <w:tr w:rsidR="001166FA" w:rsidRPr="004C19E9" w14:paraId="6EF28579" w14:textId="77777777" w:rsidTr="001166FA">
        <w:trPr>
          <w:trHeight w:val="1205"/>
        </w:trPr>
        <w:tc>
          <w:tcPr>
            <w:tcW w:w="145" w:type="pct"/>
            <w:vMerge/>
            <w:tcBorders>
              <w:top w:val="nil"/>
              <w:left w:val="single" w:sz="4" w:space="0" w:color="auto"/>
              <w:bottom w:val="single" w:sz="4" w:space="0" w:color="auto"/>
              <w:right w:val="single" w:sz="4" w:space="0" w:color="auto"/>
            </w:tcBorders>
            <w:vAlign w:val="center"/>
            <w:hideMark/>
          </w:tcPr>
          <w:p w14:paraId="3104F084" w14:textId="77777777" w:rsidR="004C19E9" w:rsidRPr="004C19E9" w:rsidRDefault="004C19E9" w:rsidP="004C19E9">
            <w:pPr>
              <w:spacing w:after="0" w:line="240" w:lineRule="auto"/>
              <w:rPr>
                <w:rFonts w:ascii="Calibri" w:eastAsia="Times New Roman" w:hAnsi="Calibri" w:cs="Calibri"/>
                <w:b/>
                <w:bCs/>
                <w:color w:val="000000"/>
                <w:sz w:val="20"/>
                <w:szCs w:val="20"/>
                <w:lang w:val="en-US" w:eastAsia="en-US"/>
              </w:rPr>
            </w:pPr>
          </w:p>
        </w:tc>
        <w:tc>
          <w:tcPr>
            <w:tcW w:w="1142" w:type="pct"/>
            <w:vMerge/>
            <w:tcBorders>
              <w:top w:val="nil"/>
              <w:left w:val="single" w:sz="4" w:space="0" w:color="auto"/>
              <w:bottom w:val="single" w:sz="4" w:space="0" w:color="auto"/>
              <w:right w:val="single" w:sz="4" w:space="0" w:color="auto"/>
            </w:tcBorders>
            <w:vAlign w:val="center"/>
            <w:hideMark/>
          </w:tcPr>
          <w:p w14:paraId="258BBDA3"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p>
        </w:tc>
        <w:tc>
          <w:tcPr>
            <w:tcW w:w="471" w:type="pct"/>
            <w:tcBorders>
              <w:top w:val="nil"/>
              <w:left w:val="nil"/>
              <w:bottom w:val="single" w:sz="4" w:space="0" w:color="auto"/>
              <w:right w:val="single" w:sz="4" w:space="0" w:color="auto"/>
            </w:tcBorders>
            <w:shd w:val="clear" w:color="000000" w:fill="FFFFFF"/>
            <w:noWrap/>
            <w:vAlign w:val="center"/>
            <w:hideMark/>
          </w:tcPr>
          <w:p w14:paraId="7CF6ED34" w14:textId="77777777" w:rsidR="004C19E9" w:rsidRPr="004C19E9" w:rsidRDefault="004C19E9" w:rsidP="004C19E9">
            <w:pPr>
              <w:spacing w:after="0" w:line="240" w:lineRule="auto"/>
              <w:jc w:val="center"/>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Denominator</w:t>
            </w:r>
          </w:p>
        </w:tc>
        <w:tc>
          <w:tcPr>
            <w:tcW w:w="1199" w:type="pct"/>
            <w:tcBorders>
              <w:top w:val="nil"/>
              <w:left w:val="nil"/>
              <w:bottom w:val="single" w:sz="4" w:space="0" w:color="auto"/>
              <w:right w:val="single" w:sz="4" w:space="0" w:color="auto"/>
            </w:tcBorders>
            <w:shd w:val="clear" w:color="000000" w:fill="FFFFFF"/>
            <w:hideMark/>
          </w:tcPr>
          <w:p w14:paraId="27F6DFAD"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number of individuals with HIV/AIDS (Future developments will allow correction of the numerator to be number of individuals receiving antiretroviral therapy and achieving viral suppression)</w:t>
            </w:r>
          </w:p>
        </w:tc>
        <w:tc>
          <w:tcPr>
            <w:tcW w:w="733" w:type="pct"/>
            <w:gridSpan w:val="2"/>
            <w:tcBorders>
              <w:top w:val="nil"/>
              <w:left w:val="nil"/>
              <w:bottom w:val="single" w:sz="4" w:space="0" w:color="auto"/>
              <w:right w:val="single" w:sz="4" w:space="0" w:color="auto"/>
            </w:tcBorders>
            <w:shd w:val="clear" w:color="000000" w:fill="FFFFFF"/>
            <w:hideMark/>
          </w:tcPr>
          <w:p w14:paraId="44EFA605" w14:textId="3D953280" w:rsidR="004C19E9" w:rsidRPr="004C19E9" w:rsidRDefault="004C19E9" w:rsidP="004C19E9">
            <w:pPr>
              <w:spacing w:after="0" w:line="240" w:lineRule="auto"/>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Population-</w:t>
            </w:r>
            <w:r w:rsidR="002A2174" w:rsidRPr="004C19E9">
              <w:rPr>
                <w:rFonts w:ascii="Calibri" w:eastAsia="Times New Roman" w:hAnsi="Calibri" w:cs="Calibri"/>
                <w:color w:val="000000"/>
                <w:sz w:val="20"/>
                <w:szCs w:val="20"/>
                <w:lang w:val="en-US" w:eastAsia="en-US"/>
              </w:rPr>
              <w:t>based surveys</w:t>
            </w:r>
            <w:r w:rsidRPr="004C19E9">
              <w:rPr>
                <w:rFonts w:ascii="Calibri" w:eastAsia="Times New Roman" w:hAnsi="Calibri" w:cs="Calibri"/>
                <w:color w:val="000000"/>
                <w:sz w:val="20"/>
                <w:szCs w:val="20"/>
                <w:lang w:val="en-US" w:eastAsia="en-US"/>
              </w:rPr>
              <w:t>, National surveillance</w:t>
            </w:r>
          </w:p>
        </w:tc>
        <w:tc>
          <w:tcPr>
            <w:tcW w:w="364" w:type="pct"/>
            <w:vMerge/>
            <w:tcBorders>
              <w:top w:val="nil"/>
              <w:left w:val="single" w:sz="4" w:space="0" w:color="auto"/>
              <w:bottom w:val="single" w:sz="4" w:space="0" w:color="auto"/>
              <w:right w:val="single" w:sz="4" w:space="0" w:color="auto"/>
            </w:tcBorders>
            <w:vAlign w:val="center"/>
            <w:hideMark/>
          </w:tcPr>
          <w:p w14:paraId="38C0F42B"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p>
        </w:tc>
        <w:tc>
          <w:tcPr>
            <w:tcW w:w="300" w:type="pct"/>
            <w:vMerge/>
            <w:tcBorders>
              <w:top w:val="nil"/>
              <w:left w:val="single" w:sz="4" w:space="0" w:color="auto"/>
              <w:bottom w:val="single" w:sz="4" w:space="0" w:color="auto"/>
              <w:right w:val="single" w:sz="4" w:space="0" w:color="auto"/>
            </w:tcBorders>
            <w:vAlign w:val="center"/>
            <w:hideMark/>
          </w:tcPr>
          <w:p w14:paraId="5D63F41B"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p>
        </w:tc>
        <w:tc>
          <w:tcPr>
            <w:tcW w:w="350" w:type="pct"/>
            <w:vMerge/>
            <w:tcBorders>
              <w:top w:val="nil"/>
              <w:left w:val="single" w:sz="4" w:space="0" w:color="auto"/>
              <w:bottom w:val="single" w:sz="4" w:space="0" w:color="auto"/>
              <w:right w:val="single" w:sz="4" w:space="0" w:color="auto"/>
            </w:tcBorders>
            <w:vAlign w:val="center"/>
            <w:hideMark/>
          </w:tcPr>
          <w:p w14:paraId="5E988B85"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p>
        </w:tc>
        <w:tc>
          <w:tcPr>
            <w:tcW w:w="296" w:type="pct"/>
            <w:vMerge/>
            <w:tcBorders>
              <w:top w:val="nil"/>
              <w:left w:val="single" w:sz="4" w:space="0" w:color="auto"/>
              <w:bottom w:val="single" w:sz="4" w:space="0" w:color="auto"/>
              <w:right w:val="single" w:sz="4" w:space="0" w:color="auto"/>
            </w:tcBorders>
            <w:vAlign w:val="center"/>
            <w:hideMark/>
          </w:tcPr>
          <w:p w14:paraId="1D2D53BF"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p>
        </w:tc>
      </w:tr>
      <w:tr w:rsidR="001166FA" w:rsidRPr="004C19E9" w14:paraId="24029154" w14:textId="77777777" w:rsidTr="001166FA">
        <w:trPr>
          <w:trHeight w:val="1215"/>
        </w:trPr>
        <w:tc>
          <w:tcPr>
            <w:tcW w:w="145" w:type="pct"/>
            <w:tcBorders>
              <w:top w:val="nil"/>
              <w:left w:val="single" w:sz="4" w:space="0" w:color="auto"/>
              <w:bottom w:val="single" w:sz="4" w:space="0" w:color="auto"/>
              <w:right w:val="single" w:sz="4" w:space="0" w:color="auto"/>
            </w:tcBorders>
            <w:shd w:val="clear" w:color="000000" w:fill="FFFFFF"/>
            <w:noWrap/>
            <w:vAlign w:val="center"/>
            <w:hideMark/>
          </w:tcPr>
          <w:p w14:paraId="68F770E9" w14:textId="77777777" w:rsidR="004C19E9" w:rsidRPr="004C19E9" w:rsidRDefault="004C19E9" w:rsidP="004C19E9">
            <w:pPr>
              <w:spacing w:after="0" w:line="240" w:lineRule="auto"/>
              <w:jc w:val="center"/>
              <w:rPr>
                <w:rFonts w:ascii="Calibri" w:eastAsia="Times New Roman" w:hAnsi="Calibri" w:cs="Calibri"/>
                <w:b/>
                <w:bCs/>
                <w:color w:val="000000"/>
                <w:sz w:val="20"/>
                <w:szCs w:val="20"/>
                <w:lang w:val="en-US" w:eastAsia="en-US"/>
              </w:rPr>
            </w:pPr>
            <w:r w:rsidRPr="004C19E9">
              <w:rPr>
                <w:rFonts w:ascii="Calibri" w:eastAsia="Times New Roman" w:hAnsi="Calibri" w:cs="Calibri"/>
                <w:b/>
                <w:bCs/>
                <w:color w:val="000000"/>
                <w:sz w:val="20"/>
                <w:szCs w:val="20"/>
                <w:lang w:val="en-US" w:eastAsia="en-US"/>
              </w:rPr>
              <w:t>17</w:t>
            </w:r>
          </w:p>
        </w:tc>
        <w:tc>
          <w:tcPr>
            <w:tcW w:w="1142" w:type="pct"/>
            <w:tcBorders>
              <w:top w:val="nil"/>
              <w:left w:val="nil"/>
              <w:bottom w:val="single" w:sz="4" w:space="0" w:color="auto"/>
              <w:right w:val="single" w:sz="4" w:space="0" w:color="auto"/>
            </w:tcBorders>
            <w:shd w:val="clear" w:color="000000" w:fill="FFFFFF"/>
            <w:vAlign w:val="center"/>
            <w:hideMark/>
          </w:tcPr>
          <w:p w14:paraId="77B38185"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 xml:space="preserve">EC tuberculosis treatment – measured as the ratio of notified and treated tuberculosis cases (all forms) to estimated incidence for the same year </w:t>
            </w:r>
          </w:p>
        </w:tc>
        <w:tc>
          <w:tcPr>
            <w:tcW w:w="471" w:type="pct"/>
            <w:tcBorders>
              <w:top w:val="nil"/>
              <w:left w:val="nil"/>
              <w:bottom w:val="single" w:sz="4" w:space="0" w:color="auto"/>
              <w:right w:val="single" w:sz="4" w:space="0" w:color="auto"/>
            </w:tcBorders>
            <w:shd w:val="clear" w:color="000000" w:fill="FFFFFF"/>
            <w:noWrap/>
            <w:vAlign w:val="center"/>
            <w:hideMark/>
          </w:tcPr>
          <w:p w14:paraId="3C7CB437" w14:textId="77777777" w:rsidR="004C19E9" w:rsidRPr="004C19E9" w:rsidRDefault="004C19E9" w:rsidP="004C19E9">
            <w:pPr>
              <w:spacing w:after="0" w:line="240" w:lineRule="auto"/>
              <w:jc w:val="center"/>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Final output</w:t>
            </w:r>
          </w:p>
        </w:tc>
        <w:tc>
          <w:tcPr>
            <w:tcW w:w="1199" w:type="pct"/>
            <w:tcBorders>
              <w:top w:val="nil"/>
              <w:left w:val="nil"/>
              <w:bottom w:val="single" w:sz="4" w:space="0" w:color="auto"/>
              <w:right w:val="single" w:sz="4" w:space="0" w:color="auto"/>
            </w:tcBorders>
            <w:shd w:val="clear" w:color="000000" w:fill="FFFFFF"/>
            <w:hideMark/>
          </w:tcPr>
          <w:p w14:paraId="171A8736"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measured as the ratio of notified and treated tuberculosis cases (all forms) to estimated incidence for the same year</w:t>
            </w:r>
          </w:p>
        </w:tc>
        <w:tc>
          <w:tcPr>
            <w:tcW w:w="733" w:type="pct"/>
            <w:gridSpan w:val="2"/>
            <w:tcBorders>
              <w:top w:val="nil"/>
              <w:left w:val="nil"/>
              <w:bottom w:val="single" w:sz="4" w:space="0" w:color="auto"/>
              <w:right w:val="single" w:sz="4" w:space="0" w:color="auto"/>
            </w:tcBorders>
            <w:shd w:val="clear" w:color="000000" w:fill="FFFFFF"/>
            <w:hideMark/>
          </w:tcPr>
          <w:p w14:paraId="6FC1E54D" w14:textId="3568A9AF" w:rsidR="004C19E9" w:rsidRPr="004C19E9" w:rsidRDefault="004C19E9" w:rsidP="004C19E9">
            <w:pPr>
              <w:spacing w:after="0" w:line="240" w:lineRule="auto"/>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Population-</w:t>
            </w:r>
            <w:r w:rsidR="002A2174" w:rsidRPr="004C19E9">
              <w:rPr>
                <w:rFonts w:ascii="Calibri" w:eastAsia="Times New Roman" w:hAnsi="Calibri" w:cs="Calibri"/>
                <w:color w:val="000000"/>
                <w:sz w:val="20"/>
                <w:szCs w:val="20"/>
                <w:lang w:val="en-US" w:eastAsia="en-US"/>
              </w:rPr>
              <w:t>based surveys</w:t>
            </w:r>
            <w:r w:rsidRPr="004C19E9">
              <w:rPr>
                <w:rFonts w:ascii="Calibri" w:eastAsia="Times New Roman" w:hAnsi="Calibri" w:cs="Calibri"/>
                <w:color w:val="000000"/>
                <w:sz w:val="20"/>
                <w:szCs w:val="20"/>
                <w:lang w:val="en-US" w:eastAsia="en-US"/>
              </w:rPr>
              <w:t>; case notifications (TB surveillance); cause of death data</w:t>
            </w:r>
          </w:p>
        </w:tc>
        <w:tc>
          <w:tcPr>
            <w:tcW w:w="364" w:type="pct"/>
            <w:tcBorders>
              <w:top w:val="nil"/>
              <w:left w:val="nil"/>
              <w:bottom w:val="single" w:sz="4" w:space="0" w:color="auto"/>
              <w:right w:val="single" w:sz="4" w:space="0" w:color="auto"/>
            </w:tcBorders>
            <w:shd w:val="clear" w:color="000000" w:fill="FFFFFF"/>
            <w:vAlign w:val="center"/>
            <w:hideMark/>
          </w:tcPr>
          <w:p w14:paraId="7C86AE22" w14:textId="77777777" w:rsidR="004C19E9" w:rsidRPr="004C19E9" w:rsidRDefault="004C19E9" w:rsidP="004C19E9">
            <w:pPr>
              <w:spacing w:after="0" w:line="240" w:lineRule="auto"/>
              <w:jc w:val="center"/>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189</w:t>
            </w:r>
          </w:p>
        </w:tc>
        <w:tc>
          <w:tcPr>
            <w:tcW w:w="300" w:type="pct"/>
            <w:tcBorders>
              <w:top w:val="nil"/>
              <w:left w:val="nil"/>
              <w:bottom w:val="single" w:sz="4" w:space="0" w:color="auto"/>
              <w:right w:val="single" w:sz="4" w:space="0" w:color="auto"/>
            </w:tcBorders>
            <w:shd w:val="clear" w:color="000000" w:fill="FFFFFF"/>
            <w:vAlign w:val="center"/>
            <w:hideMark/>
          </w:tcPr>
          <w:p w14:paraId="55D35599" w14:textId="77777777" w:rsidR="004C19E9" w:rsidRPr="004C19E9" w:rsidRDefault="004C19E9" w:rsidP="004C19E9">
            <w:pPr>
              <w:spacing w:after="0" w:line="240" w:lineRule="auto"/>
              <w:jc w:val="center"/>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Yes</w:t>
            </w:r>
          </w:p>
        </w:tc>
        <w:tc>
          <w:tcPr>
            <w:tcW w:w="350" w:type="pct"/>
            <w:tcBorders>
              <w:top w:val="nil"/>
              <w:left w:val="nil"/>
              <w:bottom w:val="single" w:sz="4" w:space="0" w:color="auto"/>
              <w:right w:val="single" w:sz="4" w:space="0" w:color="auto"/>
            </w:tcBorders>
            <w:shd w:val="clear" w:color="000000" w:fill="FFFFFF"/>
            <w:vAlign w:val="center"/>
            <w:hideMark/>
          </w:tcPr>
          <w:p w14:paraId="2787A32E" w14:textId="77777777" w:rsidR="004C19E9" w:rsidRPr="004C19E9" w:rsidRDefault="004C19E9" w:rsidP="004C19E9">
            <w:pPr>
              <w:spacing w:after="0" w:line="240" w:lineRule="auto"/>
              <w:jc w:val="center"/>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Yes</w:t>
            </w:r>
          </w:p>
        </w:tc>
        <w:tc>
          <w:tcPr>
            <w:tcW w:w="296" w:type="pct"/>
            <w:tcBorders>
              <w:top w:val="nil"/>
              <w:left w:val="nil"/>
              <w:bottom w:val="single" w:sz="4" w:space="0" w:color="auto"/>
              <w:right w:val="single" w:sz="4" w:space="0" w:color="auto"/>
            </w:tcBorders>
            <w:shd w:val="clear" w:color="000000" w:fill="FFFFFF"/>
            <w:vAlign w:val="center"/>
            <w:hideMark/>
          </w:tcPr>
          <w:p w14:paraId="198BD1F6" w14:textId="77777777" w:rsidR="004C19E9" w:rsidRPr="004C19E9" w:rsidRDefault="004C19E9" w:rsidP="004C19E9">
            <w:pPr>
              <w:spacing w:after="0" w:line="240" w:lineRule="auto"/>
              <w:jc w:val="center"/>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3.3.2</w:t>
            </w:r>
          </w:p>
        </w:tc>
      </w:tr>
      <w:tr w:rsidR="001166FA" w:rsidRPr="004C19E9" w14:paraId="72CFA63A" w14:textId="77777777" w:rsidTr="001166FA">
        <w:trPr>
          <w:trHeight w:val="960"/>
        </w:trPr>
        <w:tc>
          <w:tcPr>
            <w:tcW w:w="145"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118DF785" w14:textId="77777777" w:rsidR="004C19E9" w:rsidRPr="004C19E9" w:rsidRDefault="004C19E9" w:rsidP="004C19E9">
            <w:pPr>
              <w:spacing w:after="0" w:line="240" w:lineRule="auto"/>
              <w:jc w:val="center"/>
              <w:rPr>
                <w:rFonts w:ascii="Calibri" w:eastAsia="Times New Roman" w:hAnsi="Calibri" w:cs="Calibri"/>
                <w:b/>
                <w:bCs/>
                <w:color w:val="000000"/>
                <w:sz w:val="20"/>
                <w:szCs w:val="20"/>
                <w:lang w:val="en-US" w:eastAsia="en-US"/>
              </w:rPr>
            </w:pPr>
            <w:r w:rsidRPr="004C19E9">
              <w:rPr>
                <w:rFonts w:ascii="Calibri" w:eastAsia="Times New Roman" w:hAnsi="Calibri" w:cs="Calibri"/>
                <w:b/>
                <w:bCs/>
                <w:color w:val="000000"/>
                <w:sz w:val="20"/>
                <w:szCs w:val="20"/>
                <w:lang w:val="en-US" w:eastAsia="en-US"/>
              </w:rPr>
              <w:t>18</w:t>
            </w:r>
          </w:p>
        </w:tc>
        <w:tc>
          <w:tcPr>
            <w:tcW w:w="1142" w:type="pct"/>
            <w:vMerge w:val="restart"/>
            <w:tcBorders>
              <w:top w:val="nil"/>
              <w:left w:val="single" w:sz="4" w:space="0" w:color="auto"/>
              <w:bottom w:val="single" w:sz="4" w:space="0" w:color="auto"/>
              <w:right w:val="single" w:sz="4" w:space="0" w:color="auto"/>
            </w:tcBorders>
            <w:shd w:val="clear" w:color="000000" w:fill="FFFFFF"/>
            <w:vAlign w:val="center"/>
            <w:hideMark/>
          </w:tcPr>
          <w:p w14:paraId="0E5D5F0B"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 xml:space="preserve">EC hepatitis C virus treatment – proxied using the fraction of persons diagnosed with chronic hepatitis C virus infection receiving treatment for the infection within a given year. </w:t>
            </w:r>
          </w:p>
        </w:tc>
        <w:tc>
          <w:tcPr>
            <w:tcW w:w="471" w:type="pct"/>
            <w:tcBorders>
              <w:top w:val="nil"/>
              <w:left w:val="nil"/>
              <w:bottom w:val="single" w:sz="4" w:space="0" w:color="auto"/>
              <w:right w:val="single" w:sz="4" w:space="0" w:color="auto"/>
            </w:tcBorders>
            <w:shd w:val="clear" w:color="000000" w:fill="FFFFFF"/>
            <w:noWrap/>
            <w:vAlign w:val="center"/>
            <w:hideMark/>
          </w:tcPr>
          <w:p w14:paraId="2F13E58A" w14:textId="77777777" w:rsidR="004C19E9" w:rsidRPr="004C19E9" w:rsidRDefault="004C19E9" w:rsidP="004C19E9">
            <w:pPr>
              <w:spacing w:after="0" w:line="240" w:lineRule="auto"/>
              <w:jc w:val="center"/>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Numerator</w:t>
            </w:r>
          </w:p>
        </w:tc>
        <w:tc>
          <w:tcPr>
            <w:tcW w:w="1199" w:type="pct"/>
            <w:tcBorders>
              <w:top w:val="nil"/>
              <w:left w:val="nil"/>
              <w:bottom w:val="single" w:sz="4" w:space="0" w:color="auto"/>
              <w:right w:val="single" w:sz="4" w:space="0" w:color="auto"/>
            </w:tcBorders>
            <w:shd w:val="clear" w:color="000000" w:fill="FFFFFF"/>
            <w:hideMark/>
          </w:tcPr>
          <w:p w14:paraId="2959AFFB"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 xml:space="preserve">number of persons who were started on direct-acting antiviral treatment (during the particular year) </w:t>
            </w:r>
          </w:p>
        </w:tc>
        <w:tc>
          <w:tcPr>
            <w:tcW w:w="733" w:type="pct"/>
            <w:gridSpan w:val="2"/>
            <w:tcBorders>
              <w:top w:val="nil"/>
              <w:left w:val="nil"/>
              <w:bottom w:val="single" w:sz="4" w:space="0" w:color="auto"/>
              <w:right w:val="single" w:sz="4" w:space="0" w:color="auto"/>
            </w:tcBorders>
            <w:shd w:val="clear" w:color="000000" w:fill="FFFFFF"/>
            <w:hideMark/>
          </w:tcPr>
          <w:p w14:paraId="70C109A5"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CRVS, Population-based surveys</w:t>
            </w:r>
          </w:p>
        </w:tc>
        <w:tc>
          <w:tcPr>
            <w:tcW w:w="364" w:type="pct"/>
            <w:vMerge w:val="restart"/>
            <w:tcBorders>
              <w:top w:val="nil"/>
              <w:left w:val="single" w:sz="4" w:space="0" w:color="auto"/>
              <w:bottom w:val="single" w:sz="4" w:space="0" w:color="auto"/>
              <w:right w:val="single" w:sz="4" w:space="0" w:color="auto"/>
            </w:tcBorders>
            <w:shd w:val="clear" w:color="000000" w:fill="FFFFFF"/>
            <w:vAlign w:val="center"/>
            <w:hideMark/>
          </w:tcPr>
          <w:p w14:paraId="389BFA80" w14:textId="77777777" w:rsidR="004C19E9" w:rsidRPr="004C19E9" w:rsidRDefault="004C19E9" w:rsidP="004C19E9">
            <w:pPr>
              <w:spacing w:after="0" w:line="240" w:lineRule="auto"/>
              <w:jc w:val="center"/>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 </w:t>
            </w:r>
          </w:p>
        </w:tc>
        <w:tc>
          <w:tcPr>
            <w:tcW w:w="300" w:type="pct"/>
            <w:vMerge w:val="restart"/>
            <w:tcBorders>
              <w:top w:val="nil"/>
              <w:left w:val="single" w:sz="4" w:space="0" w:color="auto"/>
              <w:bottom w:val="single" w:sz="4" w:space="0" w:color="auto"/>
              <w:right w:val="single" w:sz="4" w:space="0" w:color="auto"/>
            </w:tcBorders>
            <w:shd w:val="clear" w:color="000000" w:fill="FFFFFF"/>
            <w:vAlign w:val="center"/>
            <w:hideMark/>
          </w:tcPr>
          <w:p w14:paraId="52E5C835" w14:textId="77777777" w:rsidR="004C19E9" w:rsidRPr="004C19E9" w:rsidRDefault="004C19E9" w:rsidP="004C19E9">
            <w:pPr>
              <w:spacing w:after="0" w:line="240" w:lineRule="auto"/>
              <w:jc w:val="center"/>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No</w:t>
            </w:r>
          </w:p>
        </w:tc>
        <w:tc>
          <w:tcPr>
            <w:tcW w:w="350" w:type="pct"/>
            <w:vMerge w:val="restart"/>
            <w:tcBorders>
              <w:top w:val="nil"/>
              <w:left w:val="single" w:sz="4" w:space="0" w:color="auto"/>
              <w:bottom w:val="single" w:sz="4" w:space="0" w:color="auto"/>
              <w:right w:val="single" w:sz="4" w:space="0" w:color="auto"/>
            </w:tcBorders>
            <w:shd w:val="clear" w:color="000000" w:fill="FFFFFF"/>
            <w:vAlign w:val="center"/>
            <w:hideMark/>
          </w:tcPr>
          <w:p w14:paraId="543E6C93" w14:textId="77777777" w:rsidR="004C19E9" w:rsidRPr="004C19E9" w:rsidRDefault="004C19E9" w:rsidP="004C19E9">
            <w:pPr>
              <w:spacing w:after="0" w:line="240" w:lineRule="auto"/>
              <w:jc w:val="center"/>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No</w:t>
            </w:r>
          </w:p>
        </w:tc>
        <w:tc>
          <w:tcPr>
            <w:tcW w:w="296" w:type="pct"/>
            <w:vMerge w:val="restart"/>
            <w:tcBorders>
              <w:top w:val="nil"/>
              <w:left w:val="single" w:sz="4" w:space="0" w:color="auto"/>
              <w:bottom w:val="single" w:sz="4" w:space="0" w:color="auto"/>
              <w:right w:val="single" w:sz="4" w:space="0" w:color="auto"/>
            </w:tcBorders>
            <w:shd w:val="clear" w:color="000000" w:fill="FFFFFF"/>
            <w:vAlign w:val="center"/>
            <w:hideMark/>
          </w:tcPr>
          <w:p w14:paraId="79D81CA4" w14:textId="77777777" w:rsidR="004C19E9" w:rsidRPr="004C19E9" w:rsidRDefault="004C19E9" w:rsidP="004C19E9">
            <w:pPr>
              <w:spacing w:after="0" w:line="240" w:lineRule="auto"/>
              <w:jc w:val="center"/>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 </w:t>
            </w:r>
          </w:p>
        </w:tc>
      </w:tr>
      <w:tr w:rsidR="001166FA" w:rsidRPr="004C19E9" w14:paraId="1FC88C1C" w14:textId="77777777" w:rsidTr="001166FA">
        <w:trPr>
          <w:trHeight w:val="945"/>
        </w:trPr>
        <w:tc>
          <w:tcPr>
            <w:tcW w:w="145" w:type="pct"/>
            <w:vMerge/>
            <w:tcBorders>
              <w:top w:val="nil"/>
              <w:left w:val="single" w:sz="4" w:space="0" w:color="auto"/>
              <w:bottom w:val="single" w:sz="4" w:space="0" w:color="auto"/>
              <w:right w:val="single" w:sz="4" w:space="0" w:color="auto"/>
            </w:tcBorders>
            <w:vAlign w:val="center"/>
            <w:hideMark/>
          </w:tcPr>
          <w:p w14:paraId="2328F995" w14:textId="77777777" w:rsidR="004C19E9" w:rsidRPr="004C19E9" w:rsidRDefault="004C19E9" w:rsidP="004C19E9">
            <w:pPr>
              <w:spacing w:after="0" w:line="240" w:lineRule="auto"/>
              <w:rPr>
                <w:rFonts w:ascii="Calibri" w:eastAsia="Times New Roman" w:hAnsi="Calibri" w:cs="Calibri"/>
                <w:b/>
                <w:bCs/>
                <w:color w:val="000000"/>
                <w:sz w:val="20"/>
                <w:szCs w:val="20"/>
                <w:lang w:val="en-US" w:eastAsia="en-US"/>
              </w:rPr>
            </w:pPr>
          </w:p>
        </w:tc>
        <w:tc>
          <w:tcPr>
            <w:tcW w:w="1142" w:type="pct"/>
            <w:vMerge/>
            <w:tcBorders>
              <w:top w:val="nil"/>
              <w:left w:val="single" w:sz="4" w:space="0" w:color="auto"/>
              <w:bottom w:val="single" w:sz="4" w:space="0" w:color="auto"/>
              <w:right w:val="single" w:sz="4" w:space="0" w:color="auto"/>
            </w:tcBorders>
            <w:vAlign w:val="center"/>
            <w:hideMark/>
          </w:tcPr>
          <w:p w14:paraId="75FB7C01"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p>
        </w:tc>
        <w:tc>
          <w:tcPr>
            <w:tcW w:w="471" w:type="pct"/>
            <w:tcBorders>
              <w:top w:val="nil"/>
              <w:left w:val="nil"/>
              <w:bottom w:val="single" w:sz="4" w:space="0" w:color="auto"/>
              <w:right w:val="single" w:sz="4" w:space="0" w:color="auto"/>
            </w:tcBorders>
            <w:shd w:val="clear" w:color="000000" w:fill="FFFFFF"/>
            <w:noWrap/>
            <w:vAlign w:val="center"/>
            <w:hideMark/>
          </w:tcPr>
          <w:p w14:paraId="4BD11904" w14:textId="77777777" w:rsidR="004C19E9" w:rsidRPr="004C19E9" w:rsidRDefault="004C19E9" w:rsidP="004C19E9">
            <w:pPr>
              <w:spacing w:after="0" w:line="240" w:lineRule="auto"/>
              <w:jc w:val="center"/>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Denominator</w:t>
            </w:r>
          </w:p>
        </w:tc>
        <w:tc>
          <w:tcPr>
            <w:tcW w:w="1199" w:type="pct"/>
            <w:tcBorders>
              <w:top w:val="nil"/>
              <w:left w:val="nil"/>
              <w:bottom w:val="single" w:sz="4" w:space="0" w:color="auto"/>
              <w:right w:val="single" w:sz="4" w:space="0" w:color="auto"/>
            </w:tcBorders>
            <w:shd w:val="clear" w:color="000000" w:fill="FFFFFF"/>
            <w:hideMark/>
          </w:tcPr>
          <w:p w14:paraId="2FB98299"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number of people diagnosed with chronic HCV infection</w:t>
            </w:r>
          </w:p>
        </w:tc>
        <w:tc>
          <w:tcPr>
            <w:tcW w:w="733" w:type="pct"/>
            <w:gridSpan w:val="2"/>
            <w:tcBorders>
              <w:top w:val="nil"/>
              <w:left w:val="nil"/>
              <w:bottom w:val="single" w:sz="4" w:space="0" w:color="auto"/>
              <w:right w:val="single" w:sz="4" w:space="0" w:color="auto"/>
            </w:tcBorders>
            <w:shd w:val="clear" w:color="000000" w:fill="FFFFFF"/>
            <w:hideMark/>
          </w:tcPr>
          <w:p w14:paraId="7AD400BE" w14:textId="102C2B05" w:rsidR="004C19E9" w:rsidRPr="004C19E9" w:rsidRDefault="004C19E9" w:rsidP="004C19E9">
            <w:pPr>
              <w:spacing w:after="0" w:line="240" w:lineRule="auto"/>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Population-</w:t>
            </w:r>
            <w:r w:rsidR="002A2174" w:rsidRPr="004C19E9">
              <w:rPr>
                <w:rFonts w:ascii="Calibri" w:eastAsia="Times New Roman" w:hAnsi="Calibri" w:cs="Calibri"/>
                <w:color w:val="000000"/>
                <w:sz w:val="20"/>
                <w:szCs w:val="20"/>
                <w:lang w:val="en-US" w:eastAsia="en-US"/>
              </w:rPr>
              <w:t>based surveys</w:t>
            </w:r>
            <w:r w:rsidRPr="004C19E9">
              <w:rPr>
                <w:rFonts w:ascii="Calibri" w:eastAsia="Times New Roman" w:hAnsi="Calibri" w:cs="Calibri"/>
                <w:color w:val="000000"/>
                <w:sz w:val="20"/>
                <w:szCs w:val="20"/>
                <w:lang w:val="en-US" w:eastAsia="en-US"/>
              </w:rPr>
              <w:t>, National Surveillance, Registries</w:t>
            </w:r>
          </w:p>
        </w:tc>
        <w:tc>
          <w:tcPr>
            <w:tcW w:w="364" w:type="pct"/>
            <w:vMerge/>
            <w:tcBorders>
              <w:top w:val="nil"/>
              <w:left w:val="single" w:sz="4" w:space="0" w:color="auto"/>
              <w:bottom w:val="single" w:sz="4" w:space="0" w:color="auto"/>
              <w:right w:val="single" w:sz="4" w:space="0" w:color="auto"/>
            </w:tcBorders>
            <w:vAlign w:val="center"/>
            <w:hideMark/>
          </w:tcPr>
          <w:p w14:paraId="322D7F12"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p>
        </w:tc>
        <w:tc>
          <w:tcPr>
            <w:tcW w:w="300" w:type="pct"/>
            <w:vMerge/>
            <w:tcBorders>
              <w:top w:val="nil"/>
              <w:left w:val="single" w:sz="4" w:space="0" w:color="auto"/>
              <w:bottom w:val="single" w:sz="4" w:space="0" w:color="auto"/>
              <w:right w:val="single" w:sz="4" w:space="0" w:color="auto"/>
            </w:tcBorders>
            <w:vAlign w:val="center"/>
            <w:hideMark/>
          </w:tcPr>
          <w:p w14:paraId="1670ADBC"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p>
        </w:tc>
        <w:tc>
          <w:tcPr>
            <w:tcW w:w="350" w:type="pct"/>
            <w:vMerge/>
            <w:tcBorders>
              <w:top w:val="nil"/>
              <w:left w:val="single" w:sz="4" w:space="0" w:color="auto"/>
              <w:bottom w:val="single" w:sz="4" w:space="0" w:color="auto"/>
              <w:right w:val="single" w:sz="4" w:space="0" w:color="auto"/>
            </w:tcBorders>
            <w:vAlign w:val="center"/>
            <w:hideMark/>
          </w:tcPr>
          <w:p w14:paraId="7BC5B0C1"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p>
        </w:tc>
        <w:tc>
          <w:tcPr>
            <w:tcW w:w="296" w:type="pct"/>
            <w:vMerge/>
            <w:tcBorders>
              <w:top w:val="nil"/>
              <w:left w:val="single" w:sz="4" w:space="0" w:color="auto"/>
              <w:bottom w:val="single" w:sz="4" w:space="0" w:color="auto"/>
              <w:right w:val="single" w:sz="4" w:space="0" w:color="auto"/>
            </w:tcBorders>
            <w:vAlign w:val="center"/>
            <w:hideMark/>
          </w:tcPr>
          <w:p w14:paraId="6A1AC370"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p>
        </w:tc>
      </w:tr>
      <w:tr w:rsidR="001166FA" w:rsidRPr="004C19E9" w14:paraId="1D94FEC1" w14:textId="77777777" w:rsidTr="001166FA">
        <w:trPr>
          <w:trHeight w:val="1385"/>
        </w:trPr>
        <w:tc>
          <w:tcPr>
            <w:tcW w:w="145"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6BB3E1A4" w14:textId="77777777" w:rsidR="004C19E9" w:rsidRPr="004C19E9" w:rsidRDefault="004C19E9" w:rsidP="004C19E9">
            <w:pPr>
              <w:spacing w:after="0" w:line="240" w:lineRule="auto"/>
              <w:jc w:val="center"/>
              <w:rPr>
                <w:rFonts w:ascii="Calibri" w:eastAsia="Times New Roman" w:hAnsi="Calibri" w:cs="Calibri"/>
                <w:b/>
                <w:bCs/>
                <w:color w:val="000000"/>
                <w:sz w:val="20"/>
                <w:szCs w:val="20"/>
                <w:lang w:val="en-US" w:eastAsia="en-US"/>
              </w:rPr>
            </w:pPr>
            <w:r w:rsidRPr="004C19E9">
              <w:rPr>
                <w:rFonts w:ascii="Calibri" w:eastAsia="Times New Roman" w:hAnsi="Calibri" w:cs="Calibri"/>
                <w:b/>
                <w:bCs/>
                <w:color w:val="000000"/>
                <w:sz w:val="20"/>
                <w:szCs w:val="20"/>
                <w:lang w:val="en-US" w:eastAsia="en-US"/>
              </w:rPr>
              <w:t>19</w:t>
            </w:r>
          </w:p>
        </w:tc>
        <w:tc>
          <w:tcPr>
            <w:tcW w:w="1142" w:type="pct"/>
            <w:vMerge w:val="restart"/>
            <w:tcBorders>
              <w:top w:val="nil"/>
              <w:left w:val="single" w:sz="4" w:space="0" w:color="auto"/>
              <w:bottom w:val="single" w:sz="4" w:space="0" w:color="auto"/>
              <w:right w:val="single" w:sz="4" w:space="0" w:color="auto"/>
            </w:tcBorders>
            <w:shd w:val="clear" w:color="auto" w:fill="auto"/>
            <w:vAlign w:val="center"/>
            <w:hideMark/>
          </w:tcPr>
          <w:p w14:paraId="6EE437C0"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EC perinatal care – proxied using stillbirths.</w:t>
            </w:r>
          </w:p>
        </w:tc>
        <w:tc>
          <w:tcPr>
            <w:tcW w:w="471" w:type="pct"/>
            <w:tcBorders>
              <w:top w:val="nil"/>
              <w:left w:val="nil"/>
              <w:bottom w:val="single" w:sz="4" w:space="0" w:color="auto"/>
              <w:right w:val="single" w:sz="4" w:space="0" w:color="auto"/>
            </w:tcBorders>
            <w:shd w:val="clear" w:color="auto" w:fill="auto"/>
            <w:noWrap/>
            <w:vAlign w:val="center"/>
            <w:hideMark/>
          </w:tcPr>
          <w:p w14:paraId="443BC599" w14:textId="77777777" w:rsidR="004C19E9" w:rsidRPr="004C19E9" w:rsidRDefault="004C19E9" w:rsidP="004C19E9">
            <w:pPr>
              <w:spacing w:after="0" w:line="240" w:lineRule="auto"/>
              <w:jc w:val="center"/>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Numerator</w:t>
            </w:r>
          </w:p>
        </w:tc>
        <w:tc>
          <w:tcPr>
            <w:tcW w:w="1199" w:type="pct"/>
            <w:tcBorders>
              <w:top w:val="nil"/>
              <w:left w:val="nil"/>
              <w:bottom w:val="single" w:sz="4" w:space="0" w:color="auto"/>
              <w:right w:val="single" w:sz="4" w:space="0" w:color="auto"/>
            </w:tcBorders>
            <w:shd w:val="clear" w:color="auto" w:fill="auto"/>
            <w:hideMark/>
          </w:tcPr>
          <w:p w14:paraId="44185A5F"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number of fetuses and infants born with no sign of life and weighing ≥1000 g, or if data on weight are missing, ≥28 completed weeks of gestation, or if data on duration of gestation are missing, body length ≥35 cm</w:t>
            </w:r>
          </w:p>
        </w:tc>
        <w:tc>
          <w:tcPr>
            <w:tcW w:w="733" w:type="pct"/>
            <w:gridSpan w:val="2"/>
            <w:tcBorders>
              <w:top w:val="nil"/>
              <w:left w:val="nil"/>
              <w:bottom w:val="single" w:sz="4" w:space="0" w:color="auto"/>
              <w:right w:val="single" w:sz="4" w:space="0" w:color="auto"/>
            </w:tcBorders>
            <w:shd w:val="clear" w:color="000000" w:fill="FFFFFF"/>
            <w:hideMark/>
          </w:tcPr>
          <w:p w14:paraId="754FB58A"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CRVS, Population-based surveys</w:t>
            </w:r>
          </w:p>
        </w:tc>
        <w:tc>
          <w:tcPr>
            <w:tcW w:w="364" w:type="pct"/>
            <w:vMerge w:val="restart"/>
            <w:tcBorders>
              <w:top w:val="nil"/>
              <w:left w:val="single" w:sz="4" w:space="0" w:color="auto"/>
              <w:bottom w:val="single" w:sz="4" w:space="0" w:color="auto"/>
              <w:right w:val="single" w:sz="4" w:space="0" w:color="auto"/>
            </w:tcBorders>
            <w:shd w:val="clear" w:color="auto" w:fill="auto"/>
            <w:vAlign w:val="center"/>
            <w:hideMark/>
          </w:tcPr>
          <w:p w14:paraId="0DF476D5" w14:textId="77777777" w:rsidR="004C19E9" w:rsidRPr="004C19E9" w:rsidRDefault="004C19E9" w:rsidP="004C19E9">
            <w:pPr>
              <w:spacing w:after="0" w:line="240" w:lineRule="auto"/>
              <w:jc w:val="center"/>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142</w:t>
            </w:r>
          </w:p>
        </w:tc>
        <w:tc>
          <w:tcPr>
            <w:tcW w:w="300" w:type="pct"/>
            <w:vMerge w:val="restart"/>
            <w:tcBorders>
              <w:top w:val="nil"/>
              <w:left w:val="single" w:sz="4" w:space="0" w:color="auto"/>
              <w:bottom w:val="single" w:sz="4" w:space="0" w:color="auto"/>
              <w:right w:val="single" w:sz="4" w:space="0" w:color="auto"/>
            </w:tcBorders>
            <w:shd w:val="clear" w:color="auto" w:fill="auto"/>
            <w:vAlign w:val="center"/>
            <w:hideMark/>
          </w:tcPr>
          <w:p w14:paraId="767F7B0E" w14:textId="77777777" w:rsidR="004C19E9" w:rsidRPr="004C19E9" w:rsidRDefault="004C19E9" w:rsidP="004C19E9">
            <w:pPr>
              <w:spacing w:after="0" w:line="240" w:lineRule="auto"/>
              <w:jc w:val="center"/>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Yes</w:t>
            </w:r>
          </w:p>
        </w:tc>
        <w:tc>
          <w:tcPr>
            <w:tcW w:w="350" w:type="pct"/>
            <w:vMerge w:val="restart"/>
            <w:tcBorders>
              <w:top w:val="nil"/>
              <w:left w:val="single" w:sz="4" w:space="0" w:color="auto"/>
              <w:bottom w:val="single" w:sz="4" w:space="0" w:color="auto"/>
              <w:right w:val="single" w:sz="4" w:space="0" w:color="auto"/>
            </w:tcBorders>
            <w:shd w:val="clear" w:color="auto" w:fill="auto"/>
            <w:vAlign w:val="center"/>
            <w:hideMark/>
          </w:tcPr>
          <w:p w14:paraId="13A0B256" w14:textId="77777777" w:rsidR="004C19E9" w:rsidRPr="004C19E9" w:rsidRDefault="004C19E9" w:rsidP="004C19E9">
            <w:pPr>
              <w:spacing w:after="0" w:line="240" w:lineRule="auto"/>
              <w:jc w:val="center"/>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Yes</w:t>
            </w:r>
          </w:p>
        </w:tc>
        <w:tc>
          <w:tcPr>
            <w:tcW w:w="296" w:type="pct"/>
            <w:vMerge w:val="restart"/>
            <w:tcBorders>
              <w:top w:val="nil"/>
              <w:left w:val="single" w:sz="4" w:space="0" w:color="auto"/>
              <w:bottom w:val="single" w:sz="4" w:space="0" w:color="auto"/>
              <w:right w:val="single" w:sz="4" w:space="0" w:color="auto"/>
            </w:tcBorders>
            <w:shd w:val="clear" w:color="auto" w:fill="auto"/>
            <w:vAlign w:val="center"/>
            <w:hideMark/>
          </w:tcPr>
          <w:p w14:paraId="16E6569A" w14:textId="77777777" w:rsidR="004C19E9" w:rsidRPr="004C19E9" w:rsidRDefault="004C19E9" w:rsidP="004C19E9">
            <w:pPr>
              <w:spacing w:after="0" w:line="240" w:lineRule="auto"/>
              <w:jc w:val="center"/>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 </w:t>
            </w:r>
          </w:p>
        </w:tc>
      </w:tr>
      <w:tr w:rsidR="001166FA" w:rsidRPr="004C19E9" w14:paraId="44CEEDF5" w14:textId="77777777" w:rsidTr="001166FA">
        <w:trPr>
          <w:trHeight w:val="660"/>
        </w:trPr>
        <w:tc>
          <w:tcPr>
            <w:tcW w:w="145" w:type="pct"/>
            <w:vMerge/>
            <w:tcBorders>
              <w:top w:val="nil"/>
              <w:left w:val="single" w:sz="4" w:space="0" w:color="auto"/>
              <w:bottom w:val="single" w:sz="4" w:space="0" w:color="auto"/>
              <w:right w:val="single" w:sz="4" w:space="0" w:color="auto"/>
            </w:tcBorders>
            <w:vAlign w:val="center"/>
            <w:hideMark/>
          </w:tcPr>
          <w:p w14:paraId="77FDFD6A" w14:textId="77777777" w:rsidR="004C19E9" w:rsidRPr="004C19E9" w:rsidRDefault="004C19E9" w:rsidP="004C19E9">
            <w:pPr>
              <w:spacing w:after="0" w:line="240" w:lineRule="auto"/>
              <w:rPr>
                <w:rFonts w:ascii="Calibri" w:eastAsia="Times New Roman" w:hAnsi="Calibri" w:cs="Calibri"/>
                <w:b/>
                <w:bCs/>
                <w:color w:val="000000"/>
                <w:sz w:val="20"/>
                <w:szCs w:val="20"/>
                <w:lang w:val="en-US" w:eastAsia="en-US"/>
              </w:rPr>
            </w:pPr>
          </w:p>
        </w:tc>
        <w:tc>
          <w:tcPr>
            <w:tcW w:w="1142" w:type="pct"/>
            <w:vMerge/>
            <w:tcBorders>
              <w:top w:val="nil"/>
              <w:left w:val="single" w:sz="4" w:space="0" w:color="auto"/>
              <w:bottom w:val="single" w:sz="4" w:space="0" w:color="auto"/>
              <w:right w:val="single" w:sz="4" w:space="0" w:color="auto"/>
            </w:tcBorders>
            <w:vAlign w:val="center"/>
            <w:hideMark/>
          </w:tcPr>
          <w:p w14:paraId="65EFBA66"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p>
        </w:tc>
        <w:tc>
          <w:tcPr>
            <w:tcW w:w="471" w:type="pct"/>
            <w:tcBorders>
              <w:top w:val="nil"/>
              <w:left w:val="nil"/>
              <w:bottom w:val="nil"/>
              <w:right w:val="single" w:sz="4" w:space="0" w:color="auto"/>
            </w:tcBorders>
            <w:shd w:val="clear" w:color="auto" w:fill="auto"/>
            <w:noWrap/>
            <w:vAlign w:val="center"/>
            <w:hideMark/>
          </w:tcPr>
          <w:p w14:paraId="38CED4AA" w14:textId="77777777" w:rsidR="004C19E9" w:rsidRPr="004C19E9" w:rsidRDefault="004C19E9" w:rsidP="004C19E9">
            <w:pPr>
              <w:spacing w:after="0" w:line="240" w:lineRule="auto"/>
              <w:jc w:val="center"/>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Denominator</w:t>
            </w:r>
          </w:p>
        </w:tc>
        <w:tc>
          <w:tcPr>
            <w:tcW w:w="1199" w:type="pct"/>
            <w:tcBorders>
              <w:top w:val="nil"/>
              <w:left w:val="nil"/>
              <w:bottom w:val="nil"/>
              <w:right w:val="single" w:sz="4" w:space="0" w:color="auto"/>
            </w:tcBorders>
            <w:shd w:val="clear" w:color="auto" w:fill="auto"/>
            <w:hideMark/>
          </w:tcPr>
          <w:p w14:paraId="71C15007"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total number of births (live and stillbirths) (Expressed per 1000 total births)</w:t>
            </w:r>
          </w:p>
        </w:tc>
        <w:tc>
          <w:tcPr>
            <w:tcW w:w="733" w:type="pct"/>
            <w:gridSpan w:val="2"/>
            <w:tcBorders>
              <w:top w:val="nil"/>
              <w:left w:val="nil"/>
              <w:bottom w:val="nil"/>
              <w:right w:val="single" w:sz="4" w:space="0" w:color="auto"/>
            </w:tcBorders>
            <w:shd w:val="clear" w:color="000000" w:fill="FFFFFF"/>
            <w:hideMark/>
          </w:tcPr>
          <w:p w14:paraId="20280751"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CRVS, Population-based surveys</w:t>
            </w:r>
          </w:p>
        </w:tc>
        <w:tc>
          <w:tcPr>
            <w:tcW w:w="364" w:type="pct"/>
            <w:vMerge/>
            <w:tcBorders>
              <w:top w:val="nil"/>
              <w:left w:val="single" w:sz="4" w:space="0" w:color="auto"/>
              <w:bottom w:val="single" w:sz="4" w:space="0" w:color="auto"/>
              <w:right w:val="single" w:sz="4" w:space="0" w:color="auto"/>
            </w:tcBorders>
            <w:vAlign w:val="center"/>
            <w:hideMark/>
          </w:tcPr>
          <w:p w14:paraId="3AAD821F"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p>
        </w:tc>
        <w:tc>
          <w:tcPr>
            <w:tcW w:w="300" w:type="pct"/>
            <w:vMerge/>
            <w:tcBorders>
              <w:top w:val="nil"/>
              <w:left w:val="single" w:sz="4" w:space="0" w:color="auto"/>
              <w:bottom w:val="single" w:sz="4" w:space="0" w:color="auto"/>
              <w:right w:val="single" w:sz="4" w:space="0" w:color="auto"/>
            </w:tcBorders>
            <w:vAlign w:val="center"/>
            <w:hideMark/>
          </w:tcPr>
          <w:p w14:paraId="2D65B4FB"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p>
        </w:tc>
        <w:tc>
          <w:tcPr>
            <w:tcW w:w="350" w:type="pct"/>
            <w:vMerge/>
            <w:tcBorders>
              <w:top w:val="nil"/>
              <w:left w:val="single" w:sz="4" w:space="0" w:color="auto"/>
              <w:bottom w:val="single" w:sz="4" w:space="0" w:color="auto"/>
              <w:right w:val="single" w:sz="4" w:space="0" w:color="auto"/>
            </w:tcBorders>
            <w:vAlign w:val="center"/>
            <w:hideMark/>
          </w:tcPr>
          <w:p w14:paraId="31DCD33B"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p>
        </w:tc>
        <w:tc>
          <w:tcPr>
            <w:tcW w:w="296" w:type="pct"/>
            <w:vMerge/>
            <w:tcBorders>
              <w:top w:val="nil"/>
              <w:left w:val="single" w:sz="4" w:space="0" w:color="auto"/>
              <w:bottom w:val="single" w:sz="4" w:space="0" w:color="auto"/>
              <w:right w:val="single" w:sz="4" w:space="0" w:color="auto"/>
            </w:tcBorders>
            <w:vAlign w:val="center"/>
            <w:hideMark/>
          </w:tcPr>
          <w:p w14:paraId="7FA0544C"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p>
        </w:tc>
      </w:tr>
      <w:tr w:rsidR="004C19E9" w:rsidRPr="004C19E9" w14:paraId="742DEA17" w14:textId="77777777" w:rsidTr="002A2174">
        <w:trPr>
          <w:trHeight w:val="450"/>
        </w:trPr>
        <w:tc>
          <w:tcPr>
            <w:tcW w:w="5000" w:type="pct"/>
            <w:gridSpan w:val="10"/>
            <w:tcBorders>
              <w:top w:val="single" w:sz="4" w:space="0" w:color="auto"/>
              <w:left w:val="single" w:sz="4" w:space="0" w:color="auto"/>
              <w:bottom w:val="single" w:sz="4" w:space="0" w:color="auto"/>
              <w:right w:val="single" w:sz="4" w:space="0" w:color="auto"/>
            </w:tcBorders>
            <w:shd w:val="clear" w:color="000000" w:fill="1F4E78"/>
            <w:noWrap/>
            <w:vAlign w:val="center"/>
            <w:hideMark/>
          </w:tcPr>
          <w:p w14:paraId="518B9DB4" w14:textId="77777777" w:rsidR="004C19E9" w:rsidRPr="004C19E9" w:rsidRDefault="004C19E9" w:rsidP="004C19E9">
            <w:pPr>
              <w:spacing w:after="0" w:line="240" w:lineRule="auto"/>
              <w:rPr>
                <w:rFonts w:ascii="Calibri" w:eastAsia="Times New Roman" w:hAnsi="Calibri" w:cs="Calibri"/>
                <w:b/>
                <w:bCs/>
                <w:color w:val="FFFFFF"/>
                <w:sz w:val="20"/>
                <w:szCs w:val="20"/>
                <w:lang w:val="en-US" w:eastAsia="en-US"/>
              </w:rPr>
            </w:pPr>
            <w:r w:rsidRPr="004C19E9">
              <w:rPr>
                <w:rFonts w:ascii="Calibri" w:eastAsia="Times New Roman" w:hAnsi="Calibri" w:cs="Calibri"/>
                <w:b/>
                <w:bCs/>
                <w:color w:val="FFFFFF"/>
                <w:sz w:val="20"/>
                <w:szCs w:val="20"/>
                <w:lang w:val="en-US" w:eastAsia="en-US"/>
              </w:rPr>
              <w:t>Treatment: non-communicable diseases and injuries</w:t>
            </w:r>
          </w:p>
        </w:tc>
      </w:tr>
      <w:tr w:rsidR="001166FA" w:rsidRPr="004C19E9" w14:paraId="67FED7F8" w14:textId="77777777" w:rsidTr="001166FA">
        <w:trPr>
          <w:trHeight w:val="705"/>
        </w:trPr>
        <w:tc>
          <w:tcPr>
            <w:tcW w:w="145"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207A5D2F" w14:textId="77777777" w:rsidR="004C19E9" w:rsidRPr="004C19E9" w:rsidRDefault="004C19E9" w:rsidP="004C19E9">
            <w:pPr>
              <w:spacing w:after="0" w:line="240" w:lineRule="auto"/>
              <w:jc w:val="center"/>
              <w:rPr>
                <w:rFonts w:ascii="Calibri" w:eastAsia="Times New Roman" w:hAnsi="Calibri" w:cs="Calibri"/>
                <w:b/>
                <w:bCs/>
                <w:color w:val="000000"/>
                <w:sz w:val="20"/>
                <w:szCs w:val="20"/>
                <w:lang w:val="en-US" w:eastAsia="en-US"/>
              </w:rPr>
            </w:pPr>
            <w:r w:rsidRPr="004C19E9">
              <w:rPr>
                <w:rFonts w:ascii="Calibri" w:eastAsia="Times New Roman" w:hAnsi="Calibri" w:cs="Calibri"/>
                <w:b/>
                <w:bCs/>
                <w:color w:val="000000"/>
                <w:sz w:val="20"/>
                <w:szCs w:val="20"/>
                <w:lang w:val="en-US" w:eastAsia="en-US"/>
              </w:rPr>
              <w:t>20</w:t>
            </w:r>
          </w:p>
        </w:tc>
        <w:tc>
          <w:tcPr>
            <w:tcW w:w="1142" w:type="pct"/>
            <w:vMerge w:val="restart"/>
            <w:tcBorders>
              <w:top w:val="nil"/>
              <w:left w:val="single" w:sz="4" w:space="0" w:color="auto"/>
              <w:bottom w:val="single" w:sz="4" w:space="0" w:color="auto"/>
              <w:right w:val="single" w:sz="4" w:space="0" w:color="auto"/>
            </w:tcBorders>
            <w:shd w:val="clear" w:color="000000" w:fill="FFFFFF"/>
            <w:vAlign w:val="center"/>
            <w:hideMark/>
          </w:tcPr>
          <w:p w14:paraId="11558C0D"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 xml:space="preserve">EC congenital heart disease treatment – proxied using the death to prevalence ratio for congenital heart disease*. </w:t>
            </w:r>
          </w:p>
        </w:tc>
        <w:tc>
          <w:tcPr>
            <w:tcW w:w="471" w:type="pct"/>
            <w:tcBorders>
              <w:top w:val="nil"/>
              <w:left w:val="nil"/>
              <w:bottom w:val="single" w:sz="4" w:space="0" w:color="auto"/>
              <w:right w:val="single" w:sz="4" w:space="0" w:color="auto"/>
            </w:tcBorders>
            <w:shd w:val="clear" w:color="000000" w:fill="FFFFFF"/>
            <w:noWrap/>
            <w:vAlign w:val="center"/>
            <w:hideMark/>
          </w:tcPr>
          <w:p w14:paraId="19EA7623" w14:textId="77777777" w:rsidR="004C19E9" w:rsidRPr="004C19E9" w:rsidRDefault="004C19E9" w:rsidP="004C19E9">
            <w:pPr>
              <w:spacing w:after="0" w:line="240" w:lineRule="auto"/>
              <w:jc w:val="center"/>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Numerator</w:t>
            </w:r>
          </w:p>
        </w:tc>
        <w:tc>
          <w:tcPr>
            <w:tcW w:w="1199" w:type="pct"/>
            <w:tcBorders>
              <w:top w:val="nil"/>
              <w:left w:val="nil"/>
              <w:bottom w:val="single" w:sz="4" w:space="0" w:color="auto"/>
              <w:right w:val="single" w:sz="4" w:space="0" w:color="auto"/>
            </w:tcBorders>
            <w:shd w:val="clear" w:color="000000" w:fill="FFFFFF"/>
            <w:hideMark/>
          </w:tcPr>
          <w:p w14:paraId="52C2E505"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number of deaths due to congenital heart disease</w:t>
            </w:r>
          </w:p>
        </w:tc>
        <w:tc>
          <w:tcPr>
            <w:tcW w:w="733" w:type="pct"/>
            <w:gridSpan w:val="2"/>
            <w:tcBorders>
              <w:top w:val="nil"/>
              <w:left w:val="nil"/>
              <w:bottom w:val="single" w:sz="4" w:space="0" w:color="auto"/>
              <w:right w:val="single" w:sz="4" w:space="0" w:color="auto"/>
            </w:tcBorders>
            <w:shd w:val="clear" w:color="000000" w:fill="FFFFFF"/>
            <w:hideMark/>
          </w:tcPr>
          <w:p w14:paraId="19D8D586"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CRVS, Populated-based surveys</w:t>
            </w:r>
          </w:p>
        </w:tc>
        <w:tc>
          <w:tcPr>
            <w:tcW w:w="364" w:type="pct"/>
            <w:vMerge w:val="restart"/>
            <w:tcBorders>
              <w:top w:val="nil"/>
              <w:left w:val="single" w:sz="4" w:space="0" w:color="auto"/>
              <w:bottom w:val="single" w:sz="4" w:space="0" w:color="auto"/>
              <w:right w:val="single" w:sz="4" w:space="0" w:color="auto"/>
            </w:tcBorders>
            <w:shd w:val="clear" w:color="000000" w:fill="FFFFFF"/>
            <w:vAlign w:val="center"/>
            <w:hideMark/>
          </w:tcPr>
          <w:p w14:paraId="2E842DF4" w14:textId="77777777" w:rsidR="004C19E9" w:rsidRPr="004C19E9" w:rsidRDefault="004C19E9" w:rsidP="004C19E9">
            <w:pPr>
              <w:spacing w:after="0" w:line="240" w:lineRule="auto"/>
              <w:jc w:val="center"/>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105</w:t>
            </w:r>
          </w:p>
        </w:tc>
        <w:tc>
          <w:tcPr>
            <w:tcW w:w="300" w:type="pct"/>
            <w:vMerge w:val="restart"/>
            <w:tcBorders>
              <w:top w:val="nil"/>
              <w:left w:val="single" w:sz="4" w:space="0" w:color="auto"/>
              <w:bottom w:val="single" w:sz="4" w:space="0" w:color="auto"/>
              <w:right w:val="single" w:sz="4" w:space="0" w:color="auto"/>
            </w:tcBorders>
            <w:shd w:val="clear" w:color="000000" w:fill="FFFFFF"/>
            <w:vAlign w:val="center"/>
            <w:hideMark/>
          </w:tcPr>
          <w:p w14:paraId="1FE3ACEE" w14:textId="77777777" w:rsidR="004C19E9" w:rsidRPr="004C19E9" w:rsidRDefault="004C19E9" w:rsidP="004C19E9">
            <w:pPr>
              <w:spacing w:after="0" w:line="240" w:lineRule="auto"/>
              <w:jc w:val="center"/>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Yes</w:t>
            </w:r>
          </w:p>
        </w:tc>
        <w:tc>
          <w:tcPr>
            <w:tcW w:w="350" w:type="pct"/>
            <w:vMerge w:val="restart"/>
            <w:tcBorders>
              <w:top w:val="nil"/>
              <w:left w:val="single" w:sz="4" w:space="0" w:color="auto"/>
              <w:bottom w:val="single" w:sz="4" w:space="0" w:color="auto"/>
              <w:right w:val="single" w:sz="4" w:space="0" w:color="auto"/>
            </w:tcBorders>
            <w:shd w:val="clear" w:color="000000" w:fill="FFFFFF"/>
            <w:vAlign w:val="center"/>
            <w:hideMark/>
          </w:tcPr>
          <w:p w14:paraId="7C6DDE47" w14:textId="77777777" w:rsidR="004C19E9" w:rsidRPr="004C19E9" w:rsidRDefault="004C19E9" w:rsidP="004C19E9">
            <w:pPr>
              <w:spacing w:after="0" w:line="240" w:lineRule="auto"/>
              <w:jc w:val="center"/>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Yes</w:t>
            </w:r>
          </w:p>
        </w:tc>
        <w:tc>
          <w:tcPr>
            <w:tcW w:w="296" w:type="pct"/>
            <w:vMerge w:val="restart"/>
            <w:tcBorders>
              <w:top w:val="nil"/>
              <w:left w:val="single" w:sz="4" w:space="0" w:color="auto"/>
              <w:bottom w:val="single" w:sz="4" w:space="0" w:color="auto"/>
              <w:right w:val="single" w:sz="4" w:space="0" w:color="auto"/>
            </w:tcBorders>
            <w:shd w:val="clear" w:color="000000" w:fill="FFFFFF"/>
            <w:vAlign w:val="center"/>
            <w:hideMark/>
          </w:tcPr>
          <w:p w14:paraId="1DF5565C" w14:textId="77777777" w:rsidR="004C19E9" w:rsidRPr="004C19E9" w:rsidRDefault="004C19E9" w:rsidP="004C19E9">
            <w:pPr>
              <w:spacing w:after="0" w:line="240" w:lineRule="auto"/>
              <w:jc w:val="center"/>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3.4.1</w:t>
            </w:r>
          </w:p>
        </w:tc>
      </w:tr>
      <w:tr w:rsidR="001166FA" w:rsidRPr="004C19E9" w14:paraId="292ADA4C" w14:textId="77777777" w:rsidTr="001166FA">
        <w:trPr>
          <w:trHeight w:val="630"/>
        </w:trPr>
        <w:tc>
          <w:tcPr>
            <w:tcW w:w="145" w:type="pct"/>
            <w:vMerge/>
            <w:tcBorders>
              <w:top w:val="nil"/>
              <w:left w:val="single" w:sz="4" w:space="0" w:color="auto"/>
              <w:bottom w:val="single" w:sz="4" w:space="0" w:color="auto"/>
              <w:right w:val="single" w:sz="4" w:space="0" w:color="auto"/>
            </w:tcBorders>
            <w:vAlign w:val="center"/>
            <w:hideMark/>
          </w:tcPr>
          <w:p w14:paraId="36B0290D" w14:textId="77777777" w:rsidR="004C19E9" w:rsidRPr="004C19E9" w:rsidRDefault="004C19E9" w:rsidP="004C19E9">
            <w:pPr>
              <w:spacing w:after="0" w:line="240" w:lineRule="auto"/>
              <w:rPr>
                <w:rFonts w:ascii="Calibri" w:eastAsia="Times New Roman" w:hAnsi="Calibri" w:cs="Calibri"/>
                <w:b/>
                <w:bCs/>
                <w:color w:val="000000"/>
                <w:sz w:val="20"/>
                <w:szCs w:val="20"/>
                <w:lang w:val="en-US" w:eastAsia="en-US"/>
              </w:rPr>
            </w:pPr>
          </w:p>
        </w:tc>
        <w:tc>
          <w:tcPr>
            <w:tcW w:w="1142" w:type="pct"/>
            <w:vMerge/>
            <w:tcBorders>
              <w:top w:val="nil"/>
              <w:left w:val="single" w:sz="4" w:space="0" w:color="auto"/>
              <w:bottom w:val="single" w:sz="4" w:space="0" w:color="auto"/>
              <w:right w:val="single" w:sz="4" w:space="0" w:color="auto"/>
            </w:tcBorders>
            <w:vAlign w:val="center"/>
            <w:hideMark/>
          </w:tcPr>
          <w:p w14:paraId="1F23970A"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p>
        </w:tc>
        <w:tc>
          <w:tcPr>
            <w:tcW w:w="471" w:type="pct"/>
            <w:tcBorders>
              <w:top w:val="nil"/>
              <w:left w:val="nil"/>
              <w:bottom w:val="single" w:sz="4" w:space="0" w:color="auto"/>
              <w:right w:val="single" w:sz="4" w:space="0" w:color="auto"/>
            </w:tcBorders>
            <w:shd w:val="clear" w:color="000000" w:fill="FFFFFF"/>
            <w:noWrap/>
            <w:vAlign w:val="center"/>
            <w:hideMark/>
          </w:tcPr>
          <w:p w14:paraId="336620C4" w14:textId="77777777" w:rsidR="004C19E9" w:rsidRPr="004C19E9" w:rsidRDefault="004C19E9" w:rsidP="004C19E9">
            <w:pPr>
              <w:spacing w:after="0" w:line="240" w:lineRule="auto"/>
              <w:jc w:val="center"/>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Denominator</w:t>
            </w:r>
          </w:p>
        </w:tc>
        <w:tc>
          <w:tcPr>
            <w:tcW w:w="1199" w:type="pct"/>
            <w:tcBorders>
              <w:top w:val="nil"/>
              <w:left w:val="nil"/>
              <w:bottom w:val="single" w:sz="4" w:space="0" w:color="auto"/>
              <w:right w:val="single" w:sz="4" w:space="0" w:color="auto"/>
            </w:tcBorders>
            <w:shd w:val="clear" w:color="000000" w:fill="FFFFFF"/>
            <w:hideMark/>
          </w:tcPr>
          <w:p w14:paraId="7003D9A4"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prevalence of congenital heart disease</w:t>
            </w:r>
          </w:p>
        </w:tc>
        <w:tc>
          <w:tcPr>
            <w:tcW w:w="733" w:type="pct"/>
            <w:gridSpan w:val="2"/>
            <w:tcBorders>
              <w:top w:val="nil"/>
              <w:left w:val="nil"/>
              <w:bottom w:val="single" w:sz="4" w:space="0" w:color="auto"/>
              <w:right w:val="single" w:sz="4" w:space="0" w:color="auto"/>
            </w:tcBorders>
            <w:shd w:val="clear" w:color="000000" w:fill="FFFFFF"/>
            <w:hideMark/>
          </w:tcPr>
          <w:p w14:paraId="5EC14BA2" w14:textId="06F6617B" w:rsidR="004C19E9" w:rsidRPr="004C19E9" w:rsidRDefault="004C19E9" w:rsidP="004C19E9">
            <w:pPr>
              <w:spacing w:after="0" w:line="240" w:lineRule="auto"/>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Population-</w:t>
            </w:r>
            <w:r w:rsidR="002A2174" w:rsidRPr="004C19E9">
              <w:rPr>
                <w:rFonts w:ascii="Calibri" w:eastAsia="Times New Roman" w:hAnsi="Calibri" w:cs="Calibri"/>
                <w:color w:val="000000"/>
                <w:sz w:val="20"/>
                <w:szCs w:val="20"/>
                <w:lang w:val="en-US" w:eastAsia="en-US"/>
              </w:rPr>
              <w:t>based surveys</w:t>
            </w:r>
            <w:r w:rsidRPr="004C19E9">
              <w:rPr>
                <w:rFonts w:ascii="Calibri" w:eastAsia="Times New Roman" w:hAnsi="Calibri" w:cs="Calibri"/>
                <w:color w:val="000000"/>
                <w:sz w:val="20"/>
                <w:szCs w:val="20"/>
                <w:lang w:val="en-US" w:eastAsia="en-US"/>
              </w:rPr>
              <w:t>, National surveillance</w:t>
            </w:r>
          </w:p>
        </w:tc>
        <w:tc>
          <w:tcPr>
            <w:tcW w:w="364" w:type="pct"/>
            <w:vMerge/>
            <w:tcBorders>
              <w:top w:val="nil"/>
              <w:left w:val="single" w:sz="4" w:space="0" w:color="auto"/>
              <w:bottom w:val="single" w:sz="4" w:space="0" w:color="auto"/>
              <w:right w:val="single" w:sz="4" w:space="0" w:color="auto"/>
            </w:tcBorders>
            <w:vAlign w:val="center"/>
            <w:hideMark/>
          </w:tcPr>
          <w:p w14:paraId="387F64C9"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p>
        </w:tc>
        <w:tc>
          <w:tcPr>
            <w:tcW w:w="300" w:type="pct"/>
            <w:vMerge/>
            <w:tcBorders>
              <w:top w:val="nil"/>
              <w:left w:val="single" w:sz="4" w:space="0" w:color="auto"/>
              <w:bottom w:val="single" w:sz="4" w:space="0" w:color="auto"/>
              <w:right w:val="single" w:sz="4" w:space="0" w:color="auto"/>
            </w:tcBorders>
            <w:vAlign w:val="center"/>
            <w:hideMark/>
          </w:tcPr>
          <w:p w14:paraId="0A4A522F"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p>
        </w:tc>
        <w:tc>
          <w:tcPr>
            <w:tcW w:w="350" w:type="pct"/>
            <w:vMerge/>
            <w:tcBorders>
              <w:top w:val="nil"/>
              <w:left w:val="single" w:sz="4" w:space="0" w:color="auto"/>
              <w:bottom w:val="single" w:sz="4" w:space="0" w:color="auto"/>
              <w:right w:val="single" w:sz="4" w:space="0" w:color="auto"/>
            </w:tcBorders>
            <w:vAlign w:val="center"/>
            <w:hideMark/>
          </w:tcPr>
          <w:p w14:paraId="603F7C69"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p>
        </w:tc>
        <w:tc>
          <w:tcPr>
            <w:tcW w:w="296" w:type="pct"/>
            <w:vMerge/>
            <w:tcBorders>
              <w:top w:val="nil"/>
              <w:left w:val="single" w:sz="4" w:space="0" w:color="auto"/>
              <w:bottom w:val="single" w:sz="4" w:space="0" w:color="auto"/>
              <w:right w:val="single" w:sz="4" w:space="0" w:color="auto"/>
            </w:tcBorders>
            <w:vAlign w:val="center"/>
            <w:hideMark/>
          </w:tcPr>
          <w:p w14:paraId="7E94AFD7"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p>
        </w:tc>
      </w:tr>
      <w:tr w:rsidR="001166FA" w:rsidRPr="004C19E9" w14:paraId="69E52700" w14:textId="77777777" w:rsidTr="001166FA">
        <w:trPr>
          <w:trHeight w:val="780"/>
        </w:trPr>
        <w:tc>
          <w:tcPr>
            <w:tcW w:w="145"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6C054D94" w14:textId="77777777" w:rsidR="004C19E9" w:rsidRPr="004C19E9" w:rsidRDefault="004C19E9" w:rsidP="004C19E9">
            <w:pPr>
              <w:spacing w:after="0" w:line="240" w:lineRule="auto"/>
              <w:jc w:val="center"/>
              <w:rPr>
                <w:rFonts w:ascii="Calibri" w:eastAsia="Times New Roman" w:hAnsi="Calibri" w:cs="Calibri"/>
                <w:b/>
                <w:bCs/>
                <w:color w:val="000000"/>
                <w:sz w:val="20"/>
                <w:szCs w:val="20"/>
                <w:lang w:val="en-US" w:eastAsia="en-US"/>
              </w:rPr>
            </w:pPr>
            <w:r w:rsidRPr="004C19E9">
              <w:rPr>
                <w:rFonts w:ascii="Calibri" w:eastAsia="Times New Roman" w:hAnsi="Calibri" w:cs="Calibri"/>
                <w:b/>
                <w:bCs/>
                <w:color w:val="000000"/>
                <w:sz w:val="20"/>
                <w:szCs w:val="20"/>
                <w:lang w:val="en-US" w:eastAsia="en-US"/>
              </w:rPr>
              <w:t>21</w:t>
            </w:r>
          </w:p>
        </w:tc>
        <w:tc>
          <w:tcPr>
            <w:tcW w:w="1142" w:type="pct"/>
            <w:vMerge w:val="restart"/>
            <w:tcBorders>
              <w:top w:val="nil"/>
              <w:left w:val="single" w:sz="4" w:space="0" w:color="auto"/>
              <w:bottom w:val="single" w:sz="4" w:space="0" w:color="auto"/>
              <w:right w:val="single" w:sz="4" w:space="0" w:color="auto"/>
            </w:tcBorders>
            <w:shd w:val="clear" w:color="000000" w:fill="FFFFFF"/>
            <w:vAlign w:val="center"/>
            <w:hideMark/>
          </w:tcPr>
          <w:p w14:paraId="227E1AE8"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 xml:space="preserve">EC surgical care for abdominal emergencies – proxied using the death to incidence ratio for appendicitis, paralytic ileus and intestinal obstruction*.   </w:t>
            </w:r>
          </w:p>
        </w:tc>
        <w:tc>
          <w:tcPr>
            <w:tcW w:w="471" w:type="pct"/>
            <w:tcBorders>
              <w:top w:val="nil"/>
              <w:left w:val="nil"/>
              <w:bottom w:val="single" w:sz="4" w:space="0" w:color="auto"/>
              <w:right w:val="single" w:sz="4" w:space="0" w:color="auto"/>
            </w:tcBorders>
            <w:shd w:val="clear" w:color="000000" w:fill="FFFFFF"/>
            <w:noWrap/>
            <w:vAlign w:val="center"/>
            <w:hideMark/>
          </w:tcPr>
          <w:p w14:paraId="5ADAFEBC" w14:textId="77777777" w:rsidR="004C19E9" w:rsidRPr="004C19E9" w:rsidRDefault="004C19E9" w:rsidP="004C19E9">
            <w:pPr>
              <w:spacing w:after="0" w:line="240" w:lineRule="auto"/>
              <w:jc w:val="center"/>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Numerator</w:t>
            </w:r>
          </w:p>
        </w:tc>
        <w:tc>
          <w:tcPr>
            <w:tcW w:w="1199" w:type="pct"/>
            <w:tcBorders>
              <w:top w:val="nil"/>
              <w:left w:val="nil"/>
              <w:bottom w:val="single" w:sz="4" w:space="0" w:color="auto"/>
              <w:right w:val="single" w:sz="4" w:space="0" w:color="auto"/>
            </w:tcBorders>
            <w:shd w:val="clear" w:color="000000" w:fill="FFFFFF"/>
            <w:hideMark/>
          </w:tcPr>
          <w:p w14:paraId="1E6B64F1"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 xml:space="preserve">number of deaths due to appendicitis, paralytic ileus and intestinal obstruction </w:t>
            </w:r>
          </w:p>
        </w:tc>
        <w:tc>
          <w:tcPr>
            <w:tcW w:w="733" w:type="pct"/>
            <w:gridSpan w:val="2"/>
            <w:tcBorders>
              <w:top w:val="nil"/>
              <w:left w:val="nil"/>
              <w:bottom w:val="single" w:sz="4" w:space="0" w:color="auto"/>
              <w:right w:val="single" w:sz="4" w:space="0" w:color="auto"/>
            </w:tcBorders>
            <w:shd w:val="clear" w:color="000000" w:fill="FFFFFF"/>
            <w:hideMark/>
          </w:tcPr>
          <w:p w14:paraId="190C2195"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CRVS, Populated-based surveys</w:t>
            </w:r>
          </w:p>
        </w:tc>
        <w:tc>
          <w:tcPr>
            <w:tcW w:w="364" w:type="pct"/>
            <w:vMerge w:val="restart"/>
            <w:tcBorders>
              <w:top w:val="nil"/>
              <w:left w:val="single" w:sz="4" w:space="0" w:color="auto"/>
              <w:bottom w:val="single" w:sz="4" w:space="0" w:color="auto"/>
              <w:right w:val="single" w:sz="4" w:space="0" w:color="auto"/>
            </w:tcBorders>
            <w:shd w:val="clear" w:color="000000" w:fill="FFFFFF"/>
            <w:vAlign w:val="center"/>
            <w:hideMark/>
          </w:tcPr>
          <w:p w14:paraId="0171152B" w14:textId="77777777" w:rsidR="004C19E9" w:rsidRPr="004C19E9" w:rsidRDefault="004C19E9" w:rsidP="004C19E9">
            <w:pPr>
              <w:spacing w:after="0" w:line="240" w:lineRule="auto"/>
              <w:jc w:val="center"/>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105</w:t>
            </w:r>
          </w:p>
        </w:tc>
        <w:tc>
          <w:tcPr>
            <w:tcW w:w="300" w:type="pct"/>
            <w:vMerge w:val="restart"/>
            <w:tcBorders>
              <w:top w:val="nil"/>
              <w:left w:val="single" w:sz="4" w:space="0" w:color="auto"/>
              <w:bottom w:val="single" w:sz="4" w:space="0" w:color="auto"/>
              <w:right w:val="single" w:sz="4" w:space="0" w:color="auto"/>
            </w:tcBorders>
            <w:shd w:val="clear" w:color="000000" w:fill="FFFFFF"/>
            <w:vAlign w:val="center"/>
            <w:hideMark/>
          </w:tcPr>
          <w:p w14:paraId="6A45C366" w14:textId="77777777" w:rsidR="004C19E9" w:rsidRPr="004C19E9" w:rsidRDefault="004C19E9" w:rsidP="004C19E9">
            <w:pPr>
              <w:spacing w:after="0" w:line="240" w:lineRule="auto"/>
              <w:jc w:val="center"/>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Yes</w:t>
            </w:r>
          </w:p>
        </w:tc>
        <w:tc>
          <w:tcPr>
            <w:tcW w:w="350" w:type="pct"/>
            <w:vMerge w:val="restart"/>
            <w:tcBorders>
              <w:top w:val="nil"/>
              <w:left w:val="single" w:sz="4" w:space="0" w:color="auto"/>
              <w:bottom w:val="single" w:sz="4" w:space="0" w:color="auto"/>
              <w:right w:val="single" w:sz="4" w:space="0" w:color="auto"/>
            </w:tcBorders>
            <w:shd w:val="clear" w:color="000000" w:fill="FFFFFF"/>
            <w:vAlign w:val="center"/>
            <w:hideMark/>
          </w:tcPr>
          <w:p w14:paraId="1166036A" w14:textId="77777777" w:rsidR="004C19E9" w:rsidRPr="004C19E9" w:rsidRDefault="004C19E9" w:rsidP="004C19E9">
            <w:pPr>
              <w:spacing w:after="0" w:line="240" w:lineRule="auto"/>
              <w:jc w:val="center"/>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Yes</w:t>
            </w:r>
          </w:p>
        </w:tc>
        <w:tc>
          <w:tcPr>
            <w:tcW w:w="296" w:type="pct"/>
            <w:vMerge w:val="restart"/>
            <w:tcBorders>
              <w:top w:val="nil"/>
              <w:left w:val="single" w:sz="4" w:space="0" w:color="auto"/>
              <w:bottom w:val="single" w:sz="4" w:space="0" w:color="auto"/>
              <w:right w:val="single" w:sz="4" w:space="0" w:color="auto"/>
            </w:tcBorders>
            <w:shd w:val="clear" w:color="000000" w:fill="FFFFFF"/>
            <w:vAlign w:val="center"/>
            <w:hideMark/>
          </w:tcPr>
          <w:p w14:paraId="119DB2E8" w14:textId="77777777" w:rsidR="004C19E9" w:rsidRPr="004C19E9" w:rsidRDefault="004C19E9" w:rsidP="004C19E9">
            <w:pPr>
              <w:spacing w:after="0" w:line="240" w:lineRule="auto"/>
              <w:jc w:val="center"/>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 </w:t>
            </w:r>
          </w:p>
        </w:tc>
      </w:tr>
      <w:tr w:rsidR="001166FA" w:rsidRPr="004C19E9" w14:paraId="1870739F" w14:textId="77777777" w:rsidTr="001166FA">
        <w:trPr>
          <w:trHeight w:val="690"/>
        </w:trPr>
        <w:tc>
          <w:tcPr>
            <w:tcW w:w="145" w:type="pct"/>
            <w:vMerge/>
            <w:tcBorders>
              <w:top w:val="nil"/>
              <w:left w:val="single" w:sz="4" w:space="0" w:color="auto"/>
              <w:bottom w:val="single" w:sz="4" w:space="0" w:color="auto"/>
              <w:right w:val="single" w:sz="4" w:space="0" w:color="auto"/>
            </w:tcBorders>
            <w:vAlign w:val="center"/>
            <w:hideMark/>
          </w:tcPr>
          <w:p w14:paraId="17161819" w14:textId="77777777" w:rsidR="004C19E9" w:rsidRPr="004C19E9" w:rsidRDefault="004C19E9" w:rsidP="004C19E9">
            <w:pPr>
              <w:spacing w:after="0" w:line="240" w:lineRule="auto"/>
              <w:rPr>
                <w:rFonts w:ascii="Calibri" w:eastAsia="Times New Roman" w:hAnsi="Calibri" w:cs="Calibri"/>
                <w:b/>
                <w:bCs/>
                <w:color w:val="000000"/>
                <w:sz w:val="20"/>
                <w:szCs w:val="20"/>
                <w:lang w:val="en-US" w:eastAsia="en-US"/>
              </w:rPr>
            </w:pPr>
          </w:p>
        </w:tc>
        <w:tc>
          <w:tcPr>
            <w:tcW w:w="1142" w:type="pct"/>
            <w:vMerge/>
            <w:tcBorders>
              <w:top w:val="nil"/>
              <w:left w:val="single" w:sz="4" w:space="0" w:color="auto"/>
              <w:bottom w:val="single" w:sz="4" w:space="0" w:color="auto"/>
              <w:right w:val="single" w:sz="4" w:space="0" w:color="auto"/>
            </w:tcBorders>
            <w:vAlign w:val="center"/>
            <w:hideMark/>
          </w:tcPr>
          <w:p w14:paraId="45A73C8A"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p>
        </w:tc>
        <w:tc>
          <w:tcPr>
            <w:tcW w:w="471" w:type="pct"/>
            <w:tcBorders>
              <w:top w:val="nil"/>
              <w:left w:val="nil"/>
              <w:bottom w:val="single" w:sz="4" w:space="0" w:color="auto"/>
              <w:right w:val="single" w:sz="4" w:space="0" w:color="auto"/>
            </w:tcBorders>
            <w:shd w:val="clear" w:color="000000" w:fill="FFFFFF"/>
            <w:noWrap/>
            <w:vAlign w:val="center"/>
            <w:hideMark/>
          </w:tcPr>
          <w:p w14:paraId="3BCA6295" w14:textId="77777777" w:rsidR="004C19E9" w:rsidRPr="004C19E9" w:rsidRDefault="004C19E9" w:rsidP="004C19E9">
            <w:pPr>
              <w:spacing w:after="0" w:line="240" w:lineRule="auto"/>
              <w:jc w:val="center"/>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Denominator</w:t>
            </w:r>
          </w:p>
        </w:tc>
        <w:tc>
          <w:tcPr>
            <w:tcW w:w="1199" w:type="pct"/>
            <w:tcBorders>
              <w:top w:val="nil"/>
              <w:left w:val="nil"/>
              <w:bottom w:val="single" w:sz="4" w:space="0" w:color="auto"/>
              <w:right w:val="single" w:sz="4" w:space="0" w:color="auto"/>
            </w:tcBorders>
            <w:shd w:val="clear" w:color="000000" w:fill="FFFFFF"/>
            <w:hideMark/>
          </w:tcPr>
          <w:p w14:paraId="5E34CFE9" w14:textId="46841D24" w:rsidR="004C19E9" w:rsidRPr="004C19E9" w:rsidRDefault="004C19E9" w:rsidP="004C19E9">
            <w:pPr>
              <w:spacing w:after="0" w:line="240" w:lineRule="auto"/>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number of incident cases of appendicitis, paralytic ileus and intestinal obstruction</w:t>
            </w:r>
          </w:p>
        </w:tc>
        <w:tc>
          <w:tcPr>
            <w:tcW w:w="733" w:type="pct"/>
            <w:gridSpan w:val="2"/>
            <w:tcBorders>
              <w:top w:val="nil"/>
              <w:left w:val="nil"/>
              <w:bottom w:val="single" w:sz="4" w:space="0" w:color="auto"/>
              <w:right w:val="single" w:sz="4" w:space="0" w:color="auto"/>
            </w:tcBorders>
            <w:shd w:val="clear" w:color="000000" w:fill="FFFFFF"/>
            <w:hideMark/>
          </w:tcPr>
          <w:p w14:paraId="2B18F90F" w14:textId="4EF3AB49" w:rsidR="004C19E9" w:rsidRPr="004C19E9" w:rsidRDefault="004C19E9" w:rsidP="004C19E9">
            <w:pPr>
              <w:spacing w:after="0" w:line="240" w:lineRule="auto"/>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Population-</w:t>
            </w:r>
            <w:r w:rsidR="002A2174" w:rsidRPr="004C19E9">
              <w:rPr>
                <w:rFonts w:ascii="Calibri" w:eastAsia="Times New Roman" w:hAnsi="Calibri" w:cs="Calibri"/>
                <w:color w:val="000000"/>
                <w:sz w:val="20"/>
                <w:szCs w:val="20"/>
                <w:lang w:val="en-US" w:eastAsia="en-US"/>
              </w:rPr>
              <w:t>based surveys</w:t>
            </w:r>
            <w:r w:rsidRPr="004C19E9">
              <w:rPr>
                <w:rFonts w:ascii="Calibri" w:eastAsia="Times New Roman" w:hAnsi="Calibri" w:cs="Calibri"/>
                <w:color w:val="000000"/>
                <w:sz w:val="20"/>
                <w:szCs w:val="20"/>
                <w:lang w:val="en-US" w:eastAsia="en-US"/>
              </w:rPr>
              <w:t>, National Surveillance</w:t>
            </w:r>
          </w:p>
        </w:tc>
        <w:tc>
          <w:tcPr>
            <w:tcW w:w="364" w:type="pct"/>
            <w:vMerge/>
            <w:tcBorders>
              <w:top w:val="nil"/>
              <w:left w:val="single" w:sz="4" w:space="0" w:color="auto"/>
              <w:bottom w:val="single" w:sz="4" w:space="0" w:color="auto"/>
              <w:right w:val="single" w:sz="4" w:space="0" w:color="auto"/>
            </w:tcBorders>
            <w:vAlign w:val="center"/>
            <w:hideMark/>
          </w:tcPr>
          <w:p w14:paraId="78177F00"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p>
        </w:tc>
        <w:tc>
          <w:tcPr>
            <w:tcW w:w="300" w:type="pct"/>
            <w:vMerge/>
            <w:tcBorders>
              <w:top w:val="nil"/>
              <w:left w:val="single" w:sz="4" w:space="0" w:color="auto"/>
              <w:bottom w:val="single" w:sz="4" w:space="0" w:color="auto"/>
              <w:right w:val="single" w:sz="4" w:space="0" w:color="auto"/>
            </w:tcBorders>
            <w:vAlign w:val="center"/>
            <w:hideMark/>
          </w:tcPr>
          <w:p w14:paraId="387018F0"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p>
        </w:tc>
        <w:tc>
          <w:tcPr>
            <w:tcW w:w="350" w:type="pct"/>
            <w:vMerge/>
            <w:tcBorders>
              <w:top w:val="nil"/>
              <w:left w:val="single" w:sz="4" w:space="0" w:color="auto"/>
              <w:bottom w:val="single" w:sz="4" w:space="0" w:color="auto"/>
              <w:right w:val="single" w:sz="4" w:space="0" w:color="auto"/>
            </w:tcBorders>
            <w:vAlign w:val="center"/>
            <w:hideMark/>
          </w:tcPr>
          <w:p w14:paraId="3F79856E"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p>
        </w:tc>
        <w:tc>
          <w:tcPr>
            <w:tcW w:w="296" w:type="pct"/>
            <w:vMerge/>
            <w:tcBorders>
              <w:top w:val="nil"/>
              <w:left w:val="single" w:sz="4" w:space="0" w:color="auto"/>
              <w:bottom w:val="single" w:sz="4" w:space="0" w:color="auto"/>
              <w:right w:val="single" w:sz="4" w:space="0" w:color="auto"/>
            </w:tcBorders>
            <w:vAlign w:val="center"/>
            <w:hideMark/>
          </w:tcPr>
          <w:p w14:paraId="3400A96C"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p>
        </w:tc>
      </w:tr>
      <w:tr w:rsidR="001166FA" w:rsidRPr="004C19E9" w14:paraId="605C3415" w14:textId="77777777" w:rsidTr="001166FA">
        <w:trPr>
          <w:trHeight w:val="900"/>
        </w:trPr>
        <w:tc>
          <w:tcPr>
            <w:tcW w:w="145"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2D105701" w14:textId="77777777" w:rsidR="004C19E9" w:rsidRPr="004C19E9" w:rsidRDefault="004C19E9" w:rsidP="004C19E9">
            <w:pPr>
              <w:spacing w:after="0" w:line="240" w:lineRule="auto"/>
              <w:jc w:val="center"/>
              <w:rPr>
                <w:rFonts w:ascii="Calibri" w:eastAsia="Times New Roman" w:hAnsi="Calibri" w:cs="Calibri"/>
                <w:b/>
                <w:bCs/>
                <w:color w:val="000000"/>
                <w:sz w:val="20"/>
                <w:szCs w:val="20"/>
                <w:lang w:val="en-US" w:eastAsia="en-US"/>
              </w:rPr>
            </w:pPr>
            <w:r w:rsidRPr="004C19E9">
              <w:rPr>
                <w:rFonts w:ascii="Calibri" w:eastAsia="Times New Roman" w:hAnsi="Calibri" w:cs="Calibri"/>
                <w:b/>
                <w:bCs/>
                <w:color w:val="000000"/>
                <w:sz w:val="20"/>
                <w:szCs w:val="20"/>
                <w:lang w:val="en-US" w:eastAsia="en-US"/>
              </w:rPr>
              <w:t>22</w:t>
            </w:r>
          </w:p>
        </w:tc>
        <w:tc>
          <w:tcPr>
            <w:tcW w:w="1142" w:type="pct"/>
            <w:vMerge w:val="restart"/>
            <w:tcBorders>
              <w:top w:val="nil"/>
              <w:left w:val="single" w:sz="4" w:space="0" w:color="auto"/>
              <w:bottom w:val="single" w:sz="4" w:space="0" w:color="auto"/>
              <w:right w:val="single" w:sz="4" w:space="0" w:color="auto"/>
            </w:tcBorders>
            <w:shd w:val="clear" w:color="000000" w:fill="FFFFFF"/>
            <w:vAlign w:val="center"/>
            <w:hideMark/>
          </w:tcPr>
          <w:p w14:paraId="66E69CB3"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EC refractive error correction – proxied using the prevalence of moderate distance vision loss + severe distance vision loss + blindness due to uncorrected refractive error.  Rescaled using the observed range rescale.</w:t>
            </w:r>
          </w:p>
        </w:tc>
        <w:tc>
          <w:tcPr>
            <w:tcW w:w="471" w:type="pct"/>
            <w:tcBorders>
              <w:top w:val="nil"/>
              <w:left w:val="nil"/>
              <w:bottom w:val="single" w:sz="4" w:space="0" w:color="auto"/>
              <w:right w:val="single" w:sz="4" w:space="0" w:color="auto"/>
            </w:tcBorders>
            <w:shd w:val="clear" w:color="000000" w:fill="FFFFFF"/>
            <w:noWrap/>
            <w:vAlign w:val="center"/>
            <w:hideMark/>
          </w:tcPr>
          <w:p w14:paraId="381668FA" w14:textId="77777777" w:rsidR="004C19E9" w:rsidRPr="004C19E9" w:rsidRDefault="004C19E9" w:rsidP="004C19E9">
            <w:pPr>
              <w:spacing w:after="0" w:line="240" w:lineRule="auto"/>
              <w:jc w:val="center"/>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Numerator</w:t>
            </w:r>
          </w:p>
        </w:tc>
        <w:tc>
          <w:tcPr>
            <w:tcW w:w="1199" w:type="pct"/>
            <w:tcBorders>
              <w:top w:val="nil"/>
              <w:left w:val="nil"/>
              <w:bottom w:val="single" w:sz="4" w:space="0" w:color="auto"/>
              <w:right w:val="single" w:sz="4" w:space="0" w:color="auto"/>
            </w:tcBorders>
            <w:shd w:val="clear" w:color="000000" w:fill="FFFFFF"/>
            <w:hideMark/>
          </w:tcPr>
          <w:p w14:paraId="4EC61284"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number of prevalent cases of moderate distance vision loss + severe distance vision loss + blindness due to uncorrected refractive error</w:t>
            </w:r>
          </w:p>
        </w:tc>
        <w:tc>
          <w:tcPr>
            <w:tcW w:w="733" w:type="pct"/>
            <w:gridSpan w:val="2"/>
            <w:tcBorders>
              <w:top w:val="nil"/>
              <w:left w:val="nil"/>
              <w:bottom w:val="single" w:sz="4" w:space="0" w:color="auto"/>
              <w:right w:val="single" w:sz="4" w:space="0" w:color="auto"/>
            </w:tcBorders>
            <w:shd w:val="clear" w:color="000000" w:fill="FFFFFF"/>
            <w:hideMark/>
          </w:tcPr>
          <w:p w14:paraId="1FC127AC" w14:textId="7099339F" w:rsidR="004C19E9" w:rsidRPr="004C19E9" w:rsidRDefault="004C19E9" w:rsidP="004C19E9">
            <w:pPr>
              <w:spacing w:after="0" w:line="240" w:lineRule="auto"/>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National Surveillance, Population-</w:t>
            </w:r>
            <w:r w:rsidR="002A2174" w:rsidRPr="004C19E9">
              <w:rPr>
                <w:rFonts w:ascii="Calibri" w:eastAsia="Times New Roman" w:hAnsi="Calibri" w:cs="Calibri"/>
                <w:color w:val="000000"/>
                <w:sz w:val="20"/>
                <w:szCs w:val="20"/>
                <w:lang w:val="en-US" w:eastAsia="en-US"/>
              </w:rPr>
              <w:t>based surveys</w:t>
            </w:r>
            <w:r w:rsidRPr="004C19E9">
              <w:rPr>
                <w:rFonts w:ascii="Calibri" w:eastAsia="Times New Roman" w:hAnsi="Calibri" w:cs="Calibri"/>
                <w:color w:val="000000"/>
                <w:sz w:val="20"/>
                <w:szCs w:val="20"/>
                <w:lang w:val="en-US" w:eastAsia="en-US"/>
              </w:rPr>
              <w:t xml:space="preserve"> </w:t>
            </w:r>
          </w:p>
        </w:tc>
        <w:tc>
          <w:tcPr>
            <w:tcW w:w="364" w:type="pct"/>
            <w:vMerge w:val="restart"/>
            <w:tcBorders>
              <w:top w:val="nil"/>
              <w:left w:val="single" w:sz="4" w:space="0" w:color="auto"/>
              <w:bottom w:val="single" w:sz="4" w:space="0" w:color="auto"/>
              <w:right w:val="single" w:sz="4" w:space="0" w:color="auto"/>
            </w:tcBorders>
            <w:shd w:val="clear" w:color="000000" w:fill="FFFFFF"/>
            <w:vAlign w:val="center"/>
            <w:hideMark/>
          </w:tcPr>
          <w:p w14:paraId="501BC388" w14:textId="77777777" w:rsidR="004C19E9" w:rsidRPr="004C19E9" w:rsidRDefault="004C19E9" w:rsidP="004C19E9">
            <w:pPr>
              <w:spacing w:after="0" w:line="240" w:lineRule="auto"/>
              <w:jc w:val="center"/>
              <w:rPr>
                <w:rFonts w:ascii="Calibri" w:eastAsia="Times New Roman" w:hAnsi="Calibri" w:cs="Calibri"/>
                <w:sz w:val="20"/>
                <w:szCs w:val="20"/>
                <w:lang w:val="en-US" w:eastAsia="en-US"/>
              </w:rPr>
            </w:pPr>
            <w:r w:rsidRPr="004C19E9">
              <w:rPr>
                <w:rFonts w:ascii="Calibri" w:eastAsia="Times New Roman" w:hAnsi="Calibri" w:cs="Calibri"/>
                <w:sz w:val="20"/>
                <w:szCs w:val="20"/>
                <w:lang w:val="en-US" w:eastAsia="en-US"/>
              </w:rPr>
              <w:t>51</w:t>
            </w:r>
          </w:p>
        </w:tc>
        <w:tc>
          <w:tcPr>
            <w:tcW w:w="300" w:type="pct"/>
            <w:vMerge w:val="restart"/>
            <w:tcBorders>
              <w:top w:val="nil"/>
              <w:left w:val="single" w:sz="4" w:space="0" w:color="auto"/>
              <w:bottom w:val="single" w:sz="4" w:space="0" w:color="auto"/>
              <w:right w:val="single" w:sz="4" w:space="0" w:color="auto"/>
            </w:tcBorders>
            <w:shd w:val="clear" w:color="000000" w:fill="FFFFFF"/>
            <w:vAlign w:val="center"/>
            <w:hideMark/>
          </w:tcPr>
          <w:p w14:paraId="54290E46" w14:textId="77777777" w:rsidR="004C19E9" w:rsidRPr="004C19E9" w:rsidRDefault="004C19E9" w:rsidP="004C19E9">
            <w:pPr>
              <w:spacing w:after="0" w:line="240" w:lineRule="auto"/>
              <w:jc w:val="center"/>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No</w:t>
            </w:r>
          </w:p>
        </w:tc>
        <w:tc>
          <w:tcPr>
            <w:tcW w:w="350" w:type="pct"/>
            <w:vMerge w:val="restart"/>
            <w:tcBorders>
              <w:top w:val="nil"/>
              <w:left w:val="single" w:sz="4" w:space="0" w:color="auto"/>
              <w:bottom w:val="single" w:sz="4" w:space="0" w:color="auto"/>
              <w:right w:val="single" w:sz="4" w:space="0" w:color="auto"/>
            </w:tcBorders>
            <w:shd w:val="clear" w:color="000000" w:fill="FFFFFF"/>
            <w:vAlign w:val="center"/>
            <w:hideMark/>
          </w:tcPr>
          <w:p w14:paraId="4615736A" w14:textId="77777777" w:rsidR="004C19E9" w:rsidRPr="004C19E9" w:rsidRDefault="004C19E9" w:rsidP="004C19E9">
            <w:pPr>
              <w:spacing w:after="0" w:line="240" w:lineRule="auto"/>
              <w:jc w:val="center"/>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Yes</w:t>
            </w:r>
          </w:p>
        </w:tc>
        <w:tc>
          <w:tcPr>
            <w:tcW w:w="296" w:type="pct"/>
            <w:vMerge w:val="restart"/>
            <w:tcBorders>
              <w:top w:val="nil"/>
              <w:left w:val="single" w:sz="4" w:space="0" w:color="auto"/>
              <w:bottom w:val="single" w:sz="4" w:space="0" w:color="auto"/>
              <w:right w:val="single" w:sz="4" w:space="0" w:color="auto"/>
            </w:tcBorders>
            <w:shd w:val="clear" w:color="000000" w:fill="FFFFFF"/>
            <w:vAlign w:val="center"/>
            <w:hideMark/>
          </w:tcPr>
          <w:p w14:paraId="3FF97722" w14:textId="77777777" w:rsidR="004C19E9" w:rsidRPr="004C19E9" w:rsidRDefault="004C19E9" w:rsidP="004C19E9">
            <w:pPr>
              <w:spacing w:after="0" w:line="240" w:lineRule="auto"/>
              <w:jc w:val="center"/>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 </w:t>
            </w:r>
          </w:p>
        </w:tc>
      </w:tr>
      <w:tr w:rsidR="001166FA" w:rsidRPr="004C19E9" w14:paraId="22E236D0" w14:textId="77777777" w:rsidTr="001166FA">
        <w:trPr>
          <w:trHeight w:val="555"/>
        </w:trPr>
        <w:tc>
          <w:tcPr>
            <w:tcW w:w="145" w:type="pct"/>
            <w:vMerge/>
            <w:tcBorders>
              <w:top w:val="nil"/>
              <w:left w:val="single" w:sz="4" w:space="0" w:color="auto"/>
              <w:bottom w:val="single" w:sz="4" w:space="0" w:color="auto"/>
              <w:right w:val="single" w:sz="4" w:space="0" w:color="auto"/>
            </w:tcBorders>
            <w:vAlign w:val="center"/>
            <w:hideMark/>
          </w:tcPr>
          <w:p w14:paraId="4C46F693" w14:textId="77777777" w:rsidR="004C19E9" w:rsidRPr="004C19E9" w:rsidRDefault="004C19E9" w:rsidP="004C19E9">
            <w:pPr>
              <w:spacing w:after="0" w:line="240" w:lineRule="auto"/>
              <w:rPr>
                <w:rFonts w:ascii="Calibri" w:eastAsia="Times New Roman" w:hAnsi="Calibri" w:cs="Calibri"/>
                <w:b/>
                <w:bCs/>
                <w:color w:val="000000"/>
                <w:sz w:val="20"/>
                <w:szCs w:val="20"/>
                <w:lang w:val="en-US" w:eastAsia="en-US"/>
              </w:rPr>
            </w:pPr>
          </w:p>
        </w:tc>
        <w:tc>
          <w:tcPr>
            <w:tcW w:w="1142" w:type="pct"/>
            <w:vMerge/>
            <w:tcBorders>
              <w:top w:val="nil"/>
              <w:left w:val="single" w:sz="4" w:space="0" w:color="auto"/>
              <w:bottom w:val="single" w:sz="4" w:space="0" w:color="auto"/>
              <w:right w:val="single" w:sz="4" w:space="0" w:color="auto"/>
            </w:tcBorders>
            <w:vAlign w:val="center"/>
            <w:hideMark/>
          </w:tcPr>
          <w:p w14:paraId="596E4349"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p>
        </w:tc>
        <w:tc>
          <w:tcPr>
            <w:tcW w:w="471" w:type="pct"/>
            <w:tcBorders>
              <w:top w:val="nil"/>
              <w:left w:val="nil"/>
              <w:bottom w:val="single" w:sz="4" w:space="0" w:color="auto"/>
              <w:right w:val="single" w:sz="4" w:space="0" w:color="auto"/>
            </w:tcBorders>
            <w:shd w:val="clear" w:color="000000" w:fill="FFFFFF"/>
            <w:noWrap/>
            <w:vAlign w:val="center"/>
            <w:hideMark/>
          </w:tcPr>
          <w:p w14:paraId="76183835" w14:textId="77777777" w:rsidR="004C19E9" w:rsidRPr="004C19E9" w:rsidRDefault="004C19E9" w:rsidP="004C19E9">
            <w:pPr>
              <w:spacing w:after="0" w:line="240" w:lineRule="auto"/>
              <w:jc w:val="center"/>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Denominator</w:t>
            </w:r>
          </w:p>
        </w:tc>
        <w:tc>
          <w:tcPr>
            <w:tcW w:w="1199" w:type="pct"/>
            <w:tcBorders>
              <w:top w:val="nil"/>
              <w:left w:val="nil"/>
              <w:bottom w:val="single" w:sz="4" w:space="0" w:color="auto"/>
              <w:right w:val="single" w:sz="4" w:space="0" w:color="auto"/>
            </w:tcBorders>
            <w:shd w:val="clear" w:color="000000" w:fill="FFFFFF"/>
            <w:hideMark/>
          </w:tcPr>
          <w:p w14:paraId="1A3150A7"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 xml:space="preserve">number in the whole population </w:t>
            </w:r>
          </w:p>
        </w:tc>
        <w:tc>
          <w:tcPr>
            <w:tcW w:w="733" w:type="pct"/>
            <w:gridSpan w:val="2"/>
            <w:tcBorders>
              <w:top w:val="nil"/>
              <w:left w:val="nil"/>
              <w:bottom w:val="single" w:sz="4" w:space="0" w:color="auto"/>
              <w:right w:val="single" w:sz="4" w:space="0" w:color="auto"/>
            </w:tcBorders>
            <w:shd w:val="clear" w:color="000000" w:fill="FFFFFF"/>
            <w:noWrap/>
            <w:hideMark/>
          </w:tcPr>
          <w:p w14:paraId="70EFD2D5"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Population statistics</w:t>
            </w:r>
          </w:p>
        </w:tc>
        <w:tc>
          <w:tcPr>
            <w:tcW w:w="364" w:type="pct"/>
            <w:vMerge/>
            <w:tcBorders>
              <w:top w:val="nil"/>
              <w:left w:val="single" w:sz="4" w:space="0" w:color="auto"/>
              <w:bottom w:val="single" w:sz="4" w:space="0" w:color="auto"/>
              <w:right w:val="single" w:sz="4" w:space="0" w:color="auto"/>
            </w:tcBorders>
            <w:vAlign w:val="center"/>
            <w:hideMark/>
          </w:tcPr>
          <w:p w14:paraId="3B78301D" w14:textId="77777777" w:rsidR="004C19E9" w:rsidRPr="004C19E9" w:rsidRDefault="004C19E9" w:rsidP="004C19E9">
            <w:pPr>
              <w:spacing w:after="0" w:line="240" w:lineRule="auto"/>
              <w:rPr>
                <w:rFonts w:ascii="Calibri" w:eastAsia="Times New Roman" w:hAnsi="Calibri" w:cs="Calibri"/>
                <w:sz w:val="20"/>
                <w:szCs w:val="20"/>
                <w:lang w:val="en-US" w:eastAsia="en-US"/>
              </w:rPr>
            </w:pPr>
          </w:p>
        </w:tc>
        <w:tc>
          <w:tcPr>
            <w:tcW w:w="300" w:type="pct"/>
            <w:vMerge/>
            <w:tcBorders>
              <w:top w:val="nil"/>
              <w:left w:val="single" w:sz="4" w:space="0" w:color="auto"/>
              <w:bottom w:val="single" w:sz="4" w:space="0" w:color="auto"/>
              <w:right w:val="single" w:sz="4" w:space="0" w:color="auto"/>
            </w:tcBorders>
            <w:vAlign w:val="center"/>
            <w:hideMark/>
          </w:tcPr>
          <w:p w14:paraId="0CDA9065"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p>
        </w:tc>
        <w:tc>
          <w:tcPr>
            <w:tcW w:w="350" w:type="pct"/>
            <w:vMerge/>
            <w:tcBorders>
              <w:top w:val="nil"/>
              <w:left w:val="single" w:sz="4" w:space="0" w:color="auto"/>
              <w:bottom w:val="single" w:sz="4" w:space="0" w:color="auto"/>
              <w:right w:val="single" w:sz="4" w:space="0" w:color="auto"/>
            </w:tcBorders>
            <w:vAlign w:val="center"/>
            <w:hideMark/>
          </w:tcPr>
          <w:p w14:paraId="37E22D96"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p>
        </w:tc>
        <w:tc>
          <w:tcPr>
            <w:tcW w:w="296" w:type="pct"/>
            <w:vMerge/>
            <w:tcBorders>
              <w:top w:val="nil"/>
              <w:left w:val="single" w:sz="4" w:space="0" w:color="auto"/>
              <w:bottom w:val="single" w:sz="4" w:space="0" w:color="auto"/>
              <w:right w:val="single" w:sz="4" w:space="0" w:color="auto"/>
            </w:tcBorders>
            <w:vAlign w:val="center"/>
            <w:hideMark/>
          </w:tcPr>
          <w:p w14:paraId="7AFBA47D"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p>
        </w:tc>
      </w:tr>
      <w:tr w:rsidR="001166FA" w:rsidRPr="004C19E9" w14:paraId="4DDBE433" w14:textId="77777777" w:rsidTr="001166FA">
        <w:trPr>
          <w:trHeight w:val="705"/>
        </w:trPr>
        <w:tc>
          <w:tcPr>
            <w:tcW w:w="145"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5B5D9683" w14:textId="77777777" w:rsidR="004C19E9" w:rsidRPr="004C19E9" w:rsidRDefault="004C19E9" w:rsidP="004C19E9">
            <w:pPr>
              <w:spacing w:after="0" w:line="240" w:lineRule="auto"/>
              <w:jc w:val="center"/>
              <w:rPr>
                <w:rFonts w:ascii="Calibri" w:eastAsia="Times New Roman" w:hAnsi="Calibri" w:cs="Calibri"/>
                <w:b/>
                <w:bCs/>
                <w:color w:val="000000"/>
                <w:sz w:val="20"/>
                <w:szCs w:val="20"/>
                <w:lang w:val="en-US" w:eastAsia="en-US"/>
              </w:rPr>
            </w:pPr>
            <w:r w:rsidRPr="004C19E9">
              <w:rPr>
                <w:rFonts w:ascii="Calibri" w:eastAsia="Times New Roman" w:hAnsi="Calibri" w:cs="Calibri"/>
                <w:b/>
                <w:bCs/>
                <w:color w:val="000000"/>
                <w:sz w:val="20"/>
                <w:szCs w:val="20"/>
                <w:lang w:val="en-US" w:eastAsia="en-US"/>
              </w:rPr>
              <w:t>23</w:t>
            </w:r>
          </w:p>
        </w:tc>
        <w:tc>
          <w:tcPr>
            <w:tcW w:w="1142" w:type="pct"/>
            <w:vMerge w:val="restart"/>
            <w:tcBorders>
              <w:top w:val="nil"/>
              <w:left w:val="single" w:sz="4" w:space="0" w:color="auto"/>
              <w:bottom w:val="single" w:sz="4" w:space="0" w:color="auto"/>
              <w:right w:val="single" w:sz="4" w:space="0" w:color="auto"/>
            </w:tcBorders>
            <w:shd w:val="clear" w:color="000000" w:fill="FFFFFF"/>
            <w:vAlign w:val="center"/>
            <w:hideMark/>
          </w:tcPr>
          <w:p w14:paraId="30640E56"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 xml:space="preserve">EC childhood leukaemias – proxied using the death to incidence ratio*. </w:t>
            </w:r>
          </w:p>
        </w:tc>
        <w:tc>
          <w:tcPr>
            <w:tcW w:w="471" w:type="pct"/>
            <w:tcBorders>
              <w:top w:val="nil"/>
              <w:left w:val="nil"/>
              <w:bottom w:val="single" w:sz="4" w:space="0" w:color="auto"/>
              <w:right w:val="single" w:sz="4" w:space="0" w:color="auto"/>
            </w:tcBorders>
            <w:shd w:val="clear" w:color="000000" w:fill="FFFFFF"/>
            <w:noWrap/>
            <w:vAlign w:val="center"/>
            <w:hideMark/>
          </w:tcPr>
          <w:p w14:paraId="0986BE8E" w14:textId="77777777" w:rsidR="004C19E9" w:rsidRPr="004C19E9" w:rsidRDefault="004C19E9" w:rsidP="004C19E9">
            <w:pPr>
              <w:spacing w:after="0" w:line="240" w:lineRule="auto"/>
              <w:jc w:val="center"/>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Numerator</w:t>
            </w:r>
          </w:p>
        </w:tc>
        <w:tc>
          <w:tcPr>
            <w:tcW w:w="1199" w:type="pct"/>
            <w:tcBorders>
              <w:top w:val="nil"/>
              <w:left w:val="nil"/>
              <w:bottom w:val="single" w:sz="4" w:space="0" w:color="auto"/>
              <w:right w:val="single" w:sz="4" w:space="0" w:color="auto"/>
            </w:tcBorders>
            <w:shd w:val="clear" w:color="000000" w:fill="FFFFFF"/>
            <w:hideMark/>
          </w:tcPr>
          <w:p w14:paraId="114901BD"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 xml:space="preserve">number of deaths due to leukaemia in individuals aged 5–19 years  </w:t>
            </w:r>
          </w:p>
        </w:tc>
        <w:tc>
          <w:tcPr>
            <w:tcW w:w="733" w:type="pct"/>
            <w:gridSpan w:val="2"/>
            <w:tcBorders>
              <w:top w:val="nil"/>
              <w:left w:val="nil"/>
              <w:bottom w:val="single" w:sz="4" w:space="0" w:color="auto"/>
              <w:right w:val="single" w:sz="4" w:space="0" w:color="auto"/>
            </w:tcBorders>
            <w:shd w:val="clear" w:color="000000" w:fill="FFFFFF"/>
            <w:hideMark/>
          </w:tcPr>
          <w:p w14:paraId="38D47352"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CRVS, Populated-based surveys</w:t>
            </w:r>
          </w:p>
        </w:tc>
        <w:tc>
          <w:tcPr>
            <w:tcW w:w="364" w:type="pct"/>
            <w:vMerge w:val="restart"/>
            <w:tcBorders>
              <w:top w:val="nil"/>
              <w:left w:val="single" w:sz="4" w:space="0" w:color="auto"/>
              <w:bottom w:val="single" w:sz="4" w:space="0" w:color="auto"/>
              <w:right w:val="single" w:sz="4" w:space="0" w:color="auto"/>
            </w:tcBorders>
            <w:shd w:val="clear" w:color="000000" w:fill="FFFFFF"/>
            <w:vAlign w:val="center"/>
            <w:hideMark/>
          </w:tcPr>
          <w:p w14:paraId="4958EB74" w14:textId="77777777" w:rsidR="004C19E9" w:rsidRPr="004C19E9" w:rsidRDefault="004C19E9" w:rsidP="004C19E9">
            <w:pPr>
              <w:spacing w:after="0" w:line="240" w:lineRule="auto"/>
              <w:jc w:val="center"/>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105</w:t>
            </w:r>
          </w:p>
        </w:tc>
        <w:tc>
          <w:tcPr>
            <w:tcW w:w="300" w:type="pct"/>
            <w:vMerge w:val="restart"/>
            <w:tcBorders>
              <w:top w:val="nil"/>
              <w:left w:val="single" w:sz="4" w:space="0" w:color="auto"/>
              <w:bottom w:val="single" w:sz="4" w:space="0" w:color="auto"/>
              <w:right w:val="single" w:sz="4" w:space="0" w:color="auto"/>
            </w:tcBorders>
            <w:shd w:val="clear" w:color="000000" w:fill="FFFFFF"/>
            <w:vAlign w:val="center"/>
            <w:hideMark/>
          </w:tcPr>
          <w:p w14:paraId="734D92BC" w14:textId="77777777" w:rsidR="004C19E9" w:rsidRPr="004C19E9" w:rsidRDefault="004C19E9" w:rsidP="004C19E9">
            <w:pPr>
              <w:spacing w:after="0" w:line="240" w:lineRule="auto"/>
              <w:jc w:val="center"/>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Yes</w:t>
            </w:r>
          </w:p>
        </w:tc>
        <w:tc>
          <w:tcPr>
            <w:tcW w:w="350" w:type="pct"/>
            <w:vMerge w:val="restart"/>
            <w:tcBorders>
              <w:top w:val="nil"/>
              <w:left w:val="single" w:sz="4" w:space="0" w:color="auto"/>
              <w:bottom w:val="single" w:sz="4" w:space="0" w:color="auto"/>
              <w:right w:val="single" w:sz="4" w:space="0" w:color="auto"/>
            </w:tcBorders>
            <w:shd w:val="clear" w:color="000000" w:fill="FFFFFF"/>
            <w:vAlign w:val="center"/>
            <w:hideMark/>
          </w:tcPr>
          <w:p w14:paraId="02032F16" w14:textId="77777777" w:rsidR="004C19E9" w:rsidRPr="004C19E9" w:rsidRDefault="004C19E9" w:rsidP="004C19E9">
            <w:pPr>
              <w:spacing w:after="0" w:line="240" w:lineRule="auto"/>
              <w:jc w:val="center"/>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Yes</w:t>
            </w:r>
          </w:p>
        </w:tc>
        <w:tc>
          <w:tcPr>
            <w:tcW w:w="296" w:type="pct"/>
            <w:vMerge w:val="restart"/>
            <w:tcBorders>
              <w:top w:val="nil"/>
              <w:left w:val="single" w:sz="4" w:space="0" w:color="auto"/>
              <w:bottom w:val="single" w:sz="4" w:space="0" w:color="auto"/>
              <w:right w:val="single" w:sz="4" w:space="0" w:color="auto"/>
            </w:tcBorders>
            <w:shd w:val="clear" w:color="000000" w:fill="FFFFFF"/>
            <w:vAlign w:val="center"/>
            <w:hideMark/>
          </w:tcPr>
          <w:p w14:paraId="4F320AF9" w14:textId="77777777" w:rsidR="004C19E9" w:rsidRPr="004C19E9" w:rsidRDefault="004C19E9" w:rsidP="004C19E9">
            <w:pPr>
              <w:spacing w:after="0" w:line="240" w:lineRule="auto"/>
              <w:jc w:val="center"/>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3.4.1</w:t>
            </w:r>
          </w:p>
        </w:tc>
      </w:tr>
      <w:tr w:rsidR="001166FA" w:rsidRPr="004C19E9" w14:paraId="696858EB" w14:textId="77777777" w:rsidTr="001166FA">
        <w:trPr>
          <w:trHeight w:val="765"/>
        </w:trPr>
        <w:tc>
          <w:tcPr>
            <w:tcW w:w="145" w:type="pct"/>
            <w:vMerge/>
            <w:tcBorders>
              <w:top w:val="nil"/>
              <w:left w:val="single" w:sz="4" w:space="0" w:color="auto"/>
              <w:bottom w:val="single" w:sz="4" w:space="0" w:color="auto"/>
              <w:right w:val="single" w:sz="4" w:space="0" w:color="auto"/>
            </w:tcBorders>
            <w:vAlign w:val="center"/>
            <w:hideMark/>
          </w:tcPr>
          <w:p w14:paraId="07CE5F08" w14:textId="77777777" w:rsidR="004C19E9" w:rsidRPr="004C19E9" w:rsidRDefault="004C19E9" w:rsidP="004C19E9">
            <w:pPr>
              <w:spacing w:after="0" w:line="240" w:lineRule="auto"/>
              <w:rPr>
                <w:rFonts w:ascii="Calibri" w:eastAsia="Times New Roman" w:hAnsi="Calibri" w:cs="Calibri"/>
                <w:b/>
                <w:bCs/>
                <w:color w:val="000000"/>
                <w:sz w:val="20"/>
                <w:szCs w:val="20"/>
                <w:lang w:val="en-US" w:eastAsia="en-US"/>
              </w:rPr>
            </w:pPr>
          </w:p>
        </w:tc>
        <w:tc>
          <w:tcPr>
            <w:tcW w:w="1142" w:type="pct"/>
            <w:vMerge/>
            <w:tcBorders>
              <w:top w:val="nil"/>
              <w:left w:val="single" w:sz="4" w:space="0" w:color="auto"/>
              <w:bottom w:val="single" w:sz="4" w:space="0" w:color="auto"/>
              <w:right w:val="single" w:sz="4" w:space="0" w:color="auto"/>
            </w:tcBorders>
            <w:vAlign w:val="center"/>
            <w:hideMark/>
          </w:tcPr>
          <w:p w14:paraId="13207BF8"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p>
        </w:tc>
        <w:tc>
          <w:tcPr>
            <w:tcW w:w="471" w:type="pct"/>
            <w:tcBorders>
              <w:top w:val="nil"/>
              <w:left w:val="nil"/>
              <w:bottom w:val="single" w:sz="4" w:space="0" w:color="auto"/>
              <w:right w:val="single" w:sz="4" w:space="0" w:color="auto"/>
            </w:tcBorders>
            <w:shd w:val="clear" w:color="000000" w:fill="FFFFFF"/>
            <w:noWrap/>
            <w:vAlign w:val="center"/>
            <w:hideMark/>
          </w:tcPr>
          <w:p w14:paraId="60408633" w14:textId="77777777" w:rsidR="004C19E9" w:rsidRPr="004C19E9" w:rsidRDefault="004C19E9" w:rsidP="004C19E9">
            <w:pPr>
              <w:spacing w:after="0" w:line="240" w:lineRule="auto"/>
              <w:jc w:val="center"/>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Denominator</w:t>
            </w:r>
          </w:p>
        </w:tc>
        <w:tc>
          <w:tcPr>
            <w:tcW w:w="1199" w:type="pct"/>
            <w:tcBorders>
              <w:top w:val="nil"/>
              <w:left w:val="nil"/>
              <w:bottom w:val="single" w:sz="4" w:space="0" w:color="auto"/>
              <w:right w:val="single" w:sz="4" w:space="0" w:color="auto"/>
            </w:tcBorders>
            <w:shd w:val="clear" w:color="000000" w:fill="FFFFFF"/>
            <w:hideMark/>
          </w:tcPr>
          <w:p w14:paraId="266939B5"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number of incident cases of leukaemia in individuals aged 5–19 years</w:t>
            </w:r>
          </w:p>
        </w:tc>
        <w:tc>
          <w:tcPr>
            <w:tcW w:w="733" w:type="pct"/>
            <w:gridSpan w:val="2"/>
            <w:tcBorders>
              <w:top w:val="nil"/>
              <w:left w:val="nil"/>
              <w:bottom w:val="single" w:sz="4" w:space="0" w:color="auto"/>
              <w:right w:val="single" w:sz="4" w:space="0" w:color="auto"/>
            </w:tcBorders>
            <w:shd w:val="clear" w:color="000000" w:fill="FFFFFF"/>
            <w:hideMark/>
          </w:tcPr>
          <w:p w14:paraId="2DD78CCD" w14:textId="7A4B3BB9" w:rsidR="004C19E9" w:rsidRPr="004C19E9" w:rsidRDefault="004C19E9" w:rsidP="004C19E9">
            <w:pPr>
              <w:spacing w:after="0" w:line="240" w:lineRule="auto"/>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National Surveillance, Population-</w:t>
            </w:r>
            <w:r w:rsidR="002A2174" w:rsidRPr="004C19E9">
              <w:rPr>
                <w:rFonts w:ascii="Calibri" w:eastAsia="Times New Roman" w:hAnsi="Calibri" w:cs="Calibri"/>
                <w:color w:val="000000"/>
                <w:sz w:val="20"/>
                <w:szCs w:val="20"/>
                <w:lang w:val="en-US" w:eastAsia="en-US"/>
              </w:rPr>
              <w:t>based surveys</w:t>
            </w:r>
            <w:r w:rsidRPr="004C19E9">
              <w:rPr>
                <w:rFonts w:ascii="Calibri" w:eastAsia="Times New Roman" w:hAnsi="Calibri" w:cs="Calibri"/>
                <w:color w:val="000000"/>
                <w:sz w:val="20"/>
                <w:szCs w:val="20"/>
                <w:lang w:val="en-US" w:eastAsia="en-US"/>
              </w:rPr>
              <w:t xml:space="preserve"> </w:t>
            </w:r>
          </w:p>
        </w:tc>
        <w:tc>
          <w:tcPr>
            <w:tcW w:w="364" w:type="pct"/>
            <w:vMerge/>
            <w:tcBorders>
              <w:top w:val="nil"/>
              <w:left w:val="single" w:sz="4" w:space="0" w:color="auto"/>
              <w:bottom w:val="single" w:sz="4" w:space="0" w:color="auto"/>
              <w:right w:val="single" w:sz="4" w:space="0" w:color="auto"/>
            </w:tcBorders>
            <w:vAlign w:val="center"/>
            <w:hideMark/>
          </w:tcPr>
          <w:p w14:paraId="41416938"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p>
        </w:tc>
        <w:tc>
          <w:tcPr>
            <w:tcW w:w="300" w:type="pct"/>
            <w:vMerge/>
            <w:tcBorders>
              <w:top w:val="nil"/>
              <w:left w:val="single" w:sz="4" w:space="0" w:color="auto"/>
              <w:bottom w:val="single" w:sz="4" w:space="0" w:color="auto"/>
              <w:right w:val="single" w:sz="4" w:space="0" w:color="auto"/>
            </w:tcBorders>
            <w:vAlign w:val="center"/>
            <w:hideMark/>
          </w:tcPr>
          <w:p w14:paraId="056E4D88"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p>
        </w:tc>
        <w:tc>
          <w:tcPr>
            <w:tcW w:w="350" w:type="pct"/>
            <w:vMerge/>
            <w:tcBorders>
              <w:top w:val="nil"/>
              <w:left w:val="single" w:sz="4" w:space="0" w:color="auto"/>
              <w:bottom w:val="single" w:sz="4" w:space="0" w:color="auto"/>
              <w:right w:val="single" w:sz="4" w:space="0" w:color="auto"/>
            </w:tcBorders>
            <w:vAlign w:val="center"/>
            <w:hideMark/>
          </w:tcPr>
          <w:p w14:paraId="73A1191E"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p>
        </w:tc>
        <w:tc>
          <w:tcPr>
            <w:tcW w:w="296" w:type="pct"/>
            <w:vMerge/>
            <w:tcBorders>
              <w:top w:val="nil"/>
              <w:left w:val="single" w:sz="4" w:space="0" w:color="auto"/>
              <w:bottom w:val="single" w:sz="4" w:space="0" w:color="auto"/>
              <w:right w:val="single" w:sz="4" w:space="0" w:color="auto"/>
            </w:tcBorders>
            <w:vAlign w:val="center"/>
            <w:hideMark/>
          </w:tcPr>
          <w:p w14:paraId="064D9561"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p>
        </w:tc>
      </w:tr>
      <w:tr w:rsidR="001166FA" w:rsidRPr="004C19E9" w14:paraId="1E108ED9" w14:textId="77777777" w:rsidTr="001166FA">
        <w:trPr>
          <w:trHeight w:val="660"/>
        </w:trPr>
        <w:tc>
          <w:tcPr>
            <w:tcW w:w="145"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63280F6D" w14:textId="77777777" w:rsidR="004C19E9" w:rsidRPr="004C19E9" w:rsidRDefault="004C19E9" w:rsidP="004C19E9">
            <w:pPr>
              <w:spacing w:after="0" w:line="240" w:lineRule="auto"/>
              <w:jc w:val="center"/>
              <w:rPr>
                <w:rFonts w:ascii="Calibri" w:eastAsia="Times New Roman" w:hAnsi="Calibri" w:cs="Calibri"/>
                <w:b/>
                <w:bCs/>
                <w:color w:val="000000"/>
                <w:sz w:val="20"/>
                <w:szCs w:val="20"/>
                <w:lang w:val="en-US" w:eastAsia="en-US"/>
              </w:rPr>
            </w:pPr>
            <w:r w:rsidRPr="004C19E9">
              <w:rPr>
                <w:rFonts w:ascii="Calibri" w:eastAsia="Times New Roman" w:hAnsi="Calibri" w:cs="Calibri"/>
                <w:b/>
                <w:bCs/>
                <w:color w:val="000000"/>
                <w:sz w:val="20"/>
                <w:szCs w:val="20"/>
                <w:lang w:val="en-US" w:eastAsia="en-US"/>
              </w:rPr>
              <w:t>24</w:t>
            </w:r>
          </w:p>
        </w:tc>
        <w:tc>
          <w:tcPr>
            <w:tcW w:w="1142" w:type="pct"/>
            <w:vMerge w:val="restart"/>
            <w:tcBorders>
              <w:top w:val="nil"/>
              <w:left w:val="single" w:sz="4" w:space="0" w:color="auto"/>
              <w:bottom w:val="single" w:sz="4" w:space="0" w:color="auto"/>
              <w:right w:val="single" w:sz="4" w:space="0" w:color="auto"/>
            </w:tcBorders>
            <w:shd w:val="clear" w:color="000000" w:fill="FFFFFF"/>
            <w:vAlign w:val="center"/>
            <w:hideMark/>
          </w:tcPr>
          <w:p w14:paraId="12E4C38F"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 xml:space="preserve">EC treatment of asthma – proxied using the death to prevalence ratio for asthma*. </w:t>
            </w:r>
          </w:p>
        </w:tc>
        <w:tc>
          <w:tcPr>
            <w:tcW w:w="471" w:type="pct"/>
            <w:tcBorders>
              <w:top w:val="nil"/>
              <w:left w:val="nil"/>
              <w:bottom w:val="single" w:sz="4" w:space="0" w:color="auto"/>
              <w:right w:val="single" w:sz="4" w:space="0" w:color="auto"/>
            </w:tcBorders>
            <w:shd w:val="clear" w:color="000000" w:fill="FFFFFF"/>
            <w:noWrap/>
            <w:vAlign w:val="center"/>
            <w:hideMark/>
          </w:tcPr>
          <w:p w14:paraId="6D2EFB32" w14:textId="77777777" w:rsidR="004C19E9" w:rsidRPr="004C19E9" w:rsidRDefault="004C19E9" w:rsidP="004C19E9">
            <w:pPr>
              <w:spacing w:after="0" w:line="240" w:lineRule="auto"/>
              <w:jc w:val="center"/>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Numerator</w:t>
            </w:r>
          </w:p>
        </w:tc>
        <w:tc>
          <w:tcPr>
            <w:tcW w:w="1199" w:type="pct"/>
            <w:tcBorders>
              <w:top w:val="nil"/>
              <w:left w:val="nil"/>
              <w:bottom w:val="single" w:sz="4" w:space="0" w:color="auto"/>
              <w:right w:val="single" w:sz="4" w:space="0" w:color="auto"/>
            </w:tcBorders>
            <w:shd w:val="clear" w:color="000000" w:fill="FFFFFF"/>
            <w:hideMark/>
          </w:tcPr>
          <w:p w14:paraId="3E679A7C"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number of deaths due to asthma in individuals aged 5–19 years</w:t>
            </w:r>
          </w:p>
        </w:tc>
        <w:tc>
          <w:tcPr>
            <w:tcW w:w="733" w:type="pct"/>
            <w:gridSpan w:val="2"/>
            <w:tcBorders>
              <w:top w:val="nil"/>
              <w:left w:val="nil"/>
              <w:bottom w:val="single" w:sz="4" w:space="0" w:color="auto"/>
              <w:right w:val="single" w:sz="4" w:space="0" w:color="auto"/>
            </w:tcBorders>
            <w:shd w:val="clear" w:color="000000" w:fill="FFFFFF"/>
            <w:hideMark/>
          </w:tcPr>
          <w:p w14:paraId="279E617D"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CRVS/populated-based surveys</w:t>
            </w:r>
          </w:p>
        </w:tc>
        <w:tc>
          <w:tcPr>
            <w:tcW w:w="364" w:type="pct"/>
            <w:vMerge w:val="restart"/>
            <w:tcBorders>
              <w:top w:val="nil"/>
              <w:left w:val="single" w:sz="4" w:space="0" w:color="auto"/>
              <w:bottom w:val="single" w:sz="4" w:space="0" w:color="auto"/>
              <w:right w:val="single" w:sz="4" w:space="0" w:color="auto"/>
            </w:tcBorders>
            <w:shd w:val="clear" w:color="000000" w:fill="FFFFFF"/>
            <w:vAlign w:val="center"/>
            <w:hideMark/>
          </w:tcPr>
          <w:p w14:paraId="020EB51B" w14:textId="77777777" w:rsidR="004C19E9" w:rsidRPr="004C19E9" w:rsidRDefault="004C19E9" w:rsidP="004C19E9">
            <w:pPr>
              <w:spacing w:after="0" w:line="240" w:lineRule="auto"/>
              <w:jc w:val="center"/>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105</w:t>
            </w:r>
          </w:p>
        </w:tc>
        <w:tc>
          <w:tcPr>
            <w:tcW w:w="300" w:type="pct"/>
            <w:vMerge w:val="restart"/>
            <w:tcBorders>
              <w:top w:val="nil"/>
              <w:left w:val="single" w:sz="4" w:space="0" w:color="auto"/>
              <w:bottom w:val="single" w:sz="4" w:space="0" w:color="auto"/>
              <w:right w:val="single" w:sz="4" w:space="0" w:color="auto"/>
            </w:tcBorders>
            <w:shd w:val="clear" w:color="000000" w:fill="FFFFFF"/>
            <w:vAlign w:val="center"/>
            <w:hideMark/>
          </w:tcPr>
          <w:p w14:paraId="0946853C" w14:textId="77777777" w:rsidR="004C19E9" w:rsidRPr="004C19E9" w:rsidRDefault="004C19E9" w:rsidP="004C19E9">
            <w:pPr>
              <w:spacing w:after="0" w:line="240" w:lineRule="auto"/>
              <w:jc w:val="center"/>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Yes</w:t>
            </w:r>
          </w:p>
        </w:tc>
        <w:tc>
          <w:tcPr>
            <w:tcW w:w="350" w:type="pct"/>
            <w:vMerge w:val="restart"/>
            <w:tcBorders>
              <w:top w:val="nil"/>
              <w:left w:val="single" w:sz="4" w:space="0" w:color="auto"/>
              <w:bottom w:val="single" w:sz="4" w:space="0" w:color="auto"/>
              <w:right w:val="single" w:sz="4" w:space="0" w:color="auto"/>
            </w:tcBorders>
            <w:shd w:val="clear" w:color="000000" w:fill="FFFFFF"/>
            <w:vAlign w:val="center"/>
            <w:hideMark/>
          </w:tcPr>
          <w:p w14:paraId="7171F9A8" w14:textId="77777777" w:rsidR="004C19E9" w:rsidRPr="004C19E9" w:rsidRDefault="004C19E9" w:rsidP="004C19E9">
            <w:pPr>
              <w:spacing w:after="0" w:line="240" w:lineRule="auto"/>
              <w:jc w:val="center"/>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Yes</w:t>
            </w:r>
          </w:p>
        </w:tc>
        <w:tc>
          <w:tcPr>
            <w:tcW w:w="296" w:type="pct"/>
            <w:vMerge w:val="restart"/>
            <w:tcBorders>
              <w:top w:val="nil"/>
              <w:left w:val="single" w:sz="4" w:space="0" w:color="auto"/>
              <w:bottom w:val="single" w:sz="4" w:space="0" w:color="auto"/>
              <w:right w:val="single" w:sz="4" w:space="0" w:color="auto"/>
            </w:tcBorders>
            <w:shd w:val="clear" w:color="000000" w:fill="FFFFFF"/>
            <w:vAlign w:val="center"/>
            <w:hideMark/>
          </w:tcPr>
          <w:p w14:paraId="3C838EF8" w14:textId="77777777" w:rsidR="004C19E9" w:rsidRPr="004C19E9" w:rsidRDefault="004C19E9" w:rsidP="004C19E9">
            <w:pPr>
              <w:spacing w:after="0" w:line="240" w:lineRule="auto"/>
              <w:jc w:val="center"/>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3.4.1</w:t>
            </w:r>
          </w:p>
        </w:tc>
      </w:tr>
      <w:tr w:rsidR="001166FA" w:rsidRPr="004C19E9" w14:paraId="4EED4308" w14:textId="77777777" w:rsidTr="001166FA">
        <w:trPr>
          <w:trHeight w:val="945"/>
        </w:trPr>
        <w:tc>
          <w:tcPr>
            <w:tcW w:w="145" w:type="pct"/>
            <w:vMerge/>
            <w:tcBorders>
              <w:top w:val="nil"/>
              <w:left w:val="single" w:sz="4" w:space="0" w:color="auto"/>
              <w:bottom w:val="single" w:sz="4" w:space="0" w:color="auto"/>
              <w:right w:val="single" w:sz="4" w:space="0" w:color="auto"/>
            </w:tcBorders>
            <w:vAlign w:val="center"/>
            <w:hideMark/>
          </w:tcPr>
          <w:p w14:paraId="7C44CAA2" w14:textId="77777777" w:rsidR="004C19E9" w:rsidRPr="004C19E9" w:rsidRDefault="004C19E9" w:rsidP="004C19E9">
            <w:pPr>
              <w:spacing w:after="0" w:line="240" w:lineRule="auto"/>
              <w:rPr>
                <w:rFonts w:ascii="Calibri" w:eastAsia="Times New Roman" w:hAnsi="Calibri" w:cs="Calibri"/>
                <w:b/>
                <w:bCs/>
                <w:color w:val="000000"/>
                <w:sz w:val="20"/>
                <w:szCs w:val="20"/>
                <w:lang w:val="en-US" w:eastAsia="en-US"/>
              </w:rPr>
            </w:pPr>
          </w:p>
        </w:tc>
        <w:tc>
          <w:tcPr>
            <w:tcW w:w="1142" w:type="pct"/>
            <w:vMerge/>
            <w:tcBorders>
              <w:top w:val="nil"/>
              <w:left w:val="single" w:sz="4" w:space="0" w:color="auto"/>
              <w:bottom w:val="single" w:sz="4" w:space="0" w:color="auto"/>
              <w:right w:val="single" w:sz="4" w:space="0" w:color="auto"/>
            </w:tcBorders>
            <w:vAlign w:val="center"/>
            <w:hideMark/>
          </w:tcPr>
          <w:p w14:paraId="761EA4B4"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p>
        </w:tc>
        <w:tc>
          <w:tcPr>
            <w:tcW w:w="471" w:type="pct"/>
            <w:tcBorders>
              <w:top w:val="nil"/>
              <w:left w:val="nil"/>
              <w:bottom w:val="single" w:sz="4" w:space="0" w:color="auto"/>
              <w:right w:val="single" w:sz="4" w:space="0" w:color="auto"/>
            </w:tcBorders>
            <w:shd w:val="clear" w:color="000000" w:fill="FFFFFF"/>
            <w:noWrap/>
            <w:vAlign w:val="center"/>
            <w:hideMark/>
          </w:tcPr>
          <w:p w14:paraId="10A19756" w14:textId="77777777" w:rsidR="004C19E9" w:rsidRPr="004C19E9" w:rsidRDefault="004C19E9" w:rsidP="004C19E9">
            <w:pPr>
              <w:spacing w:after="0" w:line="240" w:lineRule="auto"/>
              <w:jc w:val="center"/>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Denominator</w:t>
            </w:r>
          </w:p>
        </w:tc>
        <w:tc>
          <w:tcPr>
            <w:tcW w:w="1199" w:type="pct"/>
            <w:tcBorders>
              <w:top w:val="nil"/>
              <w:left w:val="nil"/>
              <w:bottom w:val="single" w:sz="4" w:space="0" w:color="auto"/>
              <w:right w:val="single" w:sz="4" w:space="0" w:color="auto"/>
            </w:tcBorders>
            <w:shd w:val="clear" w:color="000000" w:fill="FFFFFF"/>
            <w:hideMark/>
          </w:tcPr>
          <w:p w14:paraId="22378128"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 xml:space="preserve">number of prevalent cases of asthma in individuals aged 5–19 years </w:t>
            </w:r>
          </w:p>
        </w:tc>
        <w:tc>
          <w:tcPr>
            <w:tcW w:w="733" w:type="pct"/>
            <w:gridSpan w:val="2"/>
            <w:tcBorders>
              <w:top w:val="nil"/>
              <w:left w:val="nil"/>
              <w:bottom w:val="single" w:sz="4" w:space="0" w:color="auto"/>
              <w:right w:val="single" w:sz="4" w:space="0" w:color="auto"/>
            </w:tcBorders>
            <w:shd w:val="clear" w:color="000000" w:fill="FFFFFF"/>
            <w:hideMark/>
          </w:tcPr>
          <w:p w14:paraId="466296E0" w14:textId="1682D28D" w:rsidR="004C19E9" w:rsidRPr="004C19E9" w:rsidRDefault="004C19E9" w:rsidP="004C19E9">
            <w:pPr>
              <w:spacing w:after="0" w:line="240" w:lineRule="auto"/>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National Surveillance, Population-</w:t>
            </w:r>
            <w:r w:rsidR="002A2174" w:rsidRPr="004C19E9">
              <w:rPr>
                <w:rFonts w:ascii="Calibri" w:eastAsia="Times New Roman" w:hAnsi="Calibri" w:cs="Calibri"/>
                <w:color w:val="000000"/>
                <w:sz w:val="20"/>
                <w:szCs w:val="20"/>
                <w:lang w:val="en-US" w:eastAsia="en-US"/>
              </w:rPr>
              <w:t>based surveys</w:t>
            </w:r>
            <w:r w:rsidRPr="004C19E9">
              <w:rPr>
                <w:rFonts w:ascii="Calibri" w:eastAsia="Times New Roman" w:hAnsi="Calibri" w:cs="Calibri"/>
                <w:color w:val="000000"/>
                <w:sz w:val="20"/>
                <w:szCs w:val="20"/>
                <w:lang w:val="en-US" w:eastAsia="en-US"/>
              </w:rPr>
              <w:t xml:space="preserve"> </w:t>
            </w:r>
          </w:p>
        </w:tc>
        <w:tc>
          <w:tcPr>
            <w:tcW w:w="364" w:type="pct"/>
            <w:vMerge/>
            <w:tcBorders>
              <w:top w:val="nil"/>
              <w:left w:val="single" w:sz="4" w:space="0" w:color="auto"/>
              <w:bottom w:val="single" w:sz="4" w:space="0" w:color="auto"/>
              <w:right w:val="single" w:sz="4" w:space="0" w:color="auto"/>
            </w:tcBorders>
            <w:vAlign w:val="center"/>
            <w:hideMark/>
          </w:tcPr>
          <w:p w14:paraId="4F42E3D2"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p>
        </w:tc>
        <w:tc>
          <w:tcPr>
            <w:tcW w:w="300" w:type="pct"/>
            <w:vMerge/>
            <w:tcBorders>
              <w:top w:val="nil"/>
              <w:left w:val="single" w:sz="4" w:space="0" w:color="auto"/>
              <w:bottom w:val="single" w:sz="4" w:space="0" w:color="auto"/>
              <w:right w:val="single" w:sz="4" w:space="0" w:color="auto"/>
            </w:tcBorders>
            <w:vAlign w:val="center"/>
            <w:hideMark/>
          </w:tcPr>
          <w:p w14:paraId="542ABDF6"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p>
        </w:tc>
        <w:tc>
          <w:tcPr>
            <w:tcW w:w="350" w:type="pct"/>
            <w:vMerge/>
            <w:tcBorders>
              <w:top w:val="nil"/>
              <w:left w:val="single" w:sz="4" w:space="0" w:color="auto"/>
              <w:bottom w:val="single" w:sz="4" w:space="0" w:color="auto"/>
              <w:right w:val="single" w:sz="4" w:space="0" w:color="auto"/>
            </w:tcBorders>
            <w:vAlign w:val="center"/>
            <w:hideMark/>
          </w:tcPr>
          <w:p w14:paraId="06C67BEF"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p>
        </w:tc>
        <w:tc>
          <w:tcPr>
            <w:tcW w:w="296" w:type="pct"/>
            <w:vMerge/>
            <w:tcBorders>
              <w:top w:val="nil"/>
              <w:left w:val="single" w:sz="4" w:space="0" w:color="auto"/>
              <w:bottom w:val="single" w:sz="4" w:space="0" w:color="auto"/>
              <w:right w:val="single" w:sz="4" w:space="0" w:color="auto"/>
            </w:tcBorders>
            <w:vAlign w:val="center"/>
            <w:hideMark/>
          </w:tcPr>
          <w:p w14:paraId="078D3314"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p>
        </w:tc>
      </w:tr>
      <w:tr w:rsidR="001166FA" w:rsidRPr="004C19E9" w14:paraId="4C7E1D73" w14:textId="77777777" w:rsidTr="001166FA">
        <w:trPr>
          <w:trHeight w:val="705"/>
        </w:trPr>
        <w:tc>
          <w:tcPr>
            <w:tcW w:w="145"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7F316FA8" w14:textId="77777777" w:rsidR="004C19E9" w:rsidRPr="004C19E9" w:rsidRDefault="004C19E9" w:rsidP="004C19E9">
            <w:pPr>
              <w:spacing w:after="0" w:line="240" w:lineRule="auto"/>
              <w:jc w:val="center"/>
              <w:rPr>
                <w:rFonts w:ascii="Calibri" w:eastAsia="Times New Roman" w:hAnsi="Calibri" w:cs="Calibri"/>
                <w:b/>
                <w:bCs/>
                <w:color w:val="000000"/>
                <w:sz w:val="20"/>
                <w:szCs w:val="20"/>
                <w:lang w:val="en-US" w:eastAsia="en-US"/>
              </w:rPr>
            </w:pPr>
            <w:r w:rsidRPr="004C19E9">
              <w:rPr>
                <w:rFonts w:ascii="Calibri" w:eastAsia="Times New Roman" w:hAnsi="Calibri" w:cs="Calibri"/>
                <w:b/>
                <w:bCs/>
                <w:color w:val="000000"/>
                <w:sz w:val="20"/>
                <w:szCs w:val="20"/>
                <w:lang w:val="en-US" w:eastAsia="en-US"/>
              </w:rPr>
              <w:t>25</w:t>
            </w:r>
          </w:p>
        </w:tc>
        <w:tc>
          <w:tcPr>
            <w:tcW w:w="1142" w:type="pct"/>
            <w:vMerge w:val="restart"/>
            <w:tcBorders>
              <w:top w:val="nil"/>
              <w:left w:val="single" w:sz="4" w:space="0" w:color="auto"/>
              <w:bottom w:val="single" w:sz="4" w:space="0" w:color="auto"/>
              <w:right w:val="single" w:sz="4" w:space="0" w:color="auto"/>
            </w:tcBorders>
            <w:shd w:val="clear" w:color="000000" w:fill="FFFFFF"/>
            <w:vAlign w:val="center"/>
            <w:hideMark/>
          </w:tcPr>
          <w:p w14:paraId="2695737F"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 xml:space="preserve">EC dental care – proxied using the prevalence of caries in permanent teeth*.  </w:t>
            </w:r>
          </w:p>
        </w:tc>
        <w:tc>
          <w:tcPr>
            <w:tcW w:w="471" w:type="pct"/>
            <w:tcBorders>
              <w:top w:val="nil"/>
              <w:left w:val="nil"/>
              <w:bottom w:val="single" w:sz="4" w:space="0" w:color="auto"/>
              <w:right w:val="single" w:sz="4" w:space="0" w:color="auto"/>
            </w:tcBorders>
            <w:shd w:val="clear" w:color="000000" w:fill="FFFFFF"/>
            <w:noWrap/>
            <w:vAlign w:val="center"/>
            <w:hideMark/>
          </w:tcPr>
          <w:p w14:paraId="4E7CA587" w14:textId="77777777" w:rsidR="004C19E9" w:rsidRPr="004C19E9" w:rsidRDefault="004C19E9" w:rsidP="004C19E9">
            <w:pPr>
              <w:spacing w:after="0" w:line="240" w:lineRule="auto"/>
              <w:jc w:val="center"/>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Numerator</w:t>
            </w:r>
          </w:p>
        </w:tc>
        <w:tc>
          <w:tcPr>
            <w:tcW w:w="1199" w:type="pct"/>
            <w:tcBorders>
              <w:top w:val="nil"/>
              <w:left w:val="nil"/>
              <w:bottom w:val="single" w:sz="4" w:space="0" w:color="auto"/>
              <w:right w:val="single" w:sz="4" w:space="0" w:color="auto"/>
            </w:tcBorders>
            <w:shd w:val="clear" w:color="000000" w:fill="FFFFFF"/>
            <w:hideMark/>
          </w:tcPr>
          <w:p w14:paraId="1EE71672"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number of individuals with caries in permanent teeth</w:t>
            </w:r>
          </w:p>
        </w:tc>
        <w:tc>
          <w:tcPr>
            <w:tcW w:w="733" w:type="pct"/>
            <w:gridSpan w:val="2"/>
            <w:tcBorders>
              <w:top w:val="nil"/>
              <w:left w:val="nil"/>
              <w:bottom w:val="single" w:sz="4" w:space="0" w:color="auto"/>
              <w:right w:val="single" w:sz="4" w:space="0" w:color="auto"/>
            </w:tcBorders>
            <w:shd w:val="clear" w:color="000000" w:fill="FFFFFF"/>
            <w:hideMark/>
          </w:tcPr>
          <w:p w14:paraId="2254C432" w14:textId="6C31A49E" w:rsidR="004C19E9" w:rsidRPr="004C19E9" w:rsidRDefault="004C19E9" w:rsidP="004C19E9">
            <w:pPr>
              <w:spacing w:after="0" w:line="240" w:lineRule="auto"/>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Facility records, Population-</w:t>
            </w:r>
            <w:r w:rsidR="002A2174" w:rsidRPr="004C19E9">
              <w:rPr>
                <w:rFonts w:ascii="Calibri" w:eastAsia="Times New Roman" w:hAnsi="Calibri" w:cs="Calibri"/>
                <w:color w:val="000000"/>
                <w:sz w:val="20"/>
                <w:szCs w:val="20"/>
                <w:lang w:val="en-US" w:eastAsia="en-US"/>
              </w:rPr>
              <w:t>based surveys</w:t>
            </w:r>
          </w:p>
        </w:tc>
        <w:tc>
          <w:tcPr>
            <w:tcW w:w="364" w:type="pct"/>
            <w:vMerge w:val="restart"/>
            <w:tcBorders>
              <w:top w:val="nil"/>
              <w:left w:val="single" w:sz="4" w:space="0" w:color="auto"/>
              <w:bottom w:val="single" w:sz="4" w:space="0" w:color="auto"/>
              <w:right w:val="single" w:sz="4" w:space="0" w:color="auto"/>
            </w:tcBorders>
            <w:shd w:val="clear" w:color="000000" w:fill="FFFFFF"/>
            <w:vAlign w:val="center"/>
            <w:hideMark/>
          </w:tcPr>
          <w:p w14:paraId="28F76F28" w14:textId="77777777" w:rsidR="004C19E9" w:rsidRPr="004C19E9" w:rsidRDefault="004C19E9" w:rsidP="004C19E9">
            <w:pPr>
              <w:spacing w:after="0" w:line="240" w:lineRule="auto"/>
              <w:jc w:val="center"/>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36</w:t>
            </w:r>
          </w:p>
        </w:tc>
        <w:tc>
          <w:tcPr>
            <w:tcW w:w="300" w:type="pct"/>
            <w:vMerge w:val="restart"/>
            <w:tcBorders>
              <w:top w:val="nil"/>
              <w:left w:val="single" w:sz="4" w:space="0" w:color="auto"/>
              <w:bottom w:val="single" w:sz="4" w:space="0" w:color="auto"/>
              <w:right w:val="single" w:sz="4" w:space="0" w:color="auto"/>
            </w:tcBorders>
            <w:shd w:val="clear" w:color="000000" w:fill="FFFFFF"/>
            <w:vAlign w:val="center"/>
            <w:hideMark/>
          </w:tcPr>
          <w:p w14:paraId="377025D4" w14:textId="77777777" w:rsidR="004C19E9" w:rsidRPr="004C19E9" w:rsidRDefault="004C19E9" w:rsidP="004C19E9">
            <w:pPr>
              <w:spacing w:after="0" w:line="240" w:lineRule="auto"/>
              <w:jc w:val="center"/>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No</w:t>
            </w:r>
          </w:p>
        </w:tc>
        <w:tc>
          <w:tcPr>
            <w:tcW w:w="350" w:type="pct"/>
            <w:vMerge w:val="restart"/>
            <w:tcBorders>
              <w:top w:val="nil"/>
              <w:left w:val="single" w:sz="4" w:space="0" w:color="auto"/>
              <w:bottom w:val="single" w:sz="4" w:space="0" w:color="auto"/>
              <w:right w:val="single" w:sz="4" w:space="0" w:color="auto"/>
            </w:tcBorders>
            <w:shd w:val="clear" w:color="auto" w:fill="auto"/>
            <w:vAlign w:val="center"/>
            <w:hideMark/>
          </w:tcPr>
          <w:p w14:paraId="6467F6C0" w14:textId="77777777" w:rsidR="004C19E9" w:rsidRPr="004C19E9" w:rsidRDefault="004C19E9" w:rsidP="004C19E9">
            <w:pPr>
              <w:spacing w:after="0" w:line="240" w:lineRule="auto"/>
              <w:jc w:val="center"/>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Yes</w:t>
            </w:r>
          </w:p>
        </w:tc>
        <w:tc>
          <w:tcPr>
            <w:tcW w:w="296" w:type="pct"/>
            <w:vMerge w:val="restart"/>
            <w:tcBorders>
              <w:top w:val="nil"/>
              <w:left w:val="single" w:sz="4" w:space="0" w:color="auto"/>
              <w:bottom w:val="single" w:sz="4" w:space="0" w:color="auto"/>
              <w:right w:val="single" w:sz="4" w:space="0" w:color="auto"/>
            </w:tcBorders>
            <w:shd w:val="clear" w:color="000000" w:fill="FFFFFF"/>
            <w:vAlign w:val="center"/>
            <w:hideMark/>
          </w:tcPr>
          <w:p w14:paraId="0372218F" w14:textId="77777777" w:rsidR="004C19E9" w:rsidRPr="004C19E9" w:rsidRDefault="004C19E9" w:rsidP="004C19E9">
            <w:pPr>
              <w:spacing w:after="0" w:line="240" w:lineRule="auto"/>
              <w:jc w:val="center"/>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 </w:t>
            </w:r>
          </w:p>
        </w:tc>
      </w:tr>
      <w:tr w:rsidR="001166FA" w:rsidRPr="004C19E9" w14:paraId="715BB789" w14:textId="77777777" w:rsidTr="001166FA">
        <w:trPr>
          <w:trHeight w:val="300"/>
        </w:trPr>
        <w:tc>
          <w:tcPr>
            <w:tcW w:w="145" w:type="pct"/>
            <w:vMerge/>
            <w:tcBorders>
              <w:top w:val="nil"/>
              <w:left w:val="single" w:sz="4" w:space="0" w:color="auto"/>
              <w:bottom w:val="single" w:sz="4" w:space="0" w:color="auto"/>
              <w:right w:val="single" w:sz="4" w:space="0" w:color="auto"/>
            </w:tcBorders>
            <w:vAlign w:val="center"/>
            <w:hideMark/>
          </w:tcPr>
          <w:p w14:paraId="1D3CAEF4" w14:textId="77777777" w:rsidR="004C19E9" w:rsidRPr="004C19E9" w:rsidRDefault="004C19E9" w:rsidP="004C19E9">
            <w:pPr>
              <w:spacing w:after="0" w:line="240" w:lineRule="auto"/>
              <w:rPr>
                <w:rFonts w:ascii="Calibri" w:eastAsia="Times New Roman" w:hAnsi="Calibri" w:cs="Calibri"/>
                <w:b/>
                <w:bCs/>
                <w:color w:val="000000"/>
                <w:sz w:val="20"/>
                <w:szCs w:val="20"/>
                <w:lang w:val="en-US" w:eastAsia="en-US"/>
              </w:rPr>
            </w:pPr>
          </w:p>
        </w:tc>
        <w:tc>
          <w:tcPr>
            <w:tcW w:w="1142" w:type="pct"/>
            <w:vMerge/>
            <w:tcBorders>
              <w:top w:val="nil"/>
              <w:left w:val="single" w:sz="4" w:space="0" w:color="auto"/>
              <w:bottom w:val="single" w:sz="4" w:space="0" w:color="auto"/>
              <w:right w:val="single" w:sz="4" w:space="0" w:color="auto"/>
            </w:tcBorders>
            <w:vAlign w:val="center"/>
            <w:hideMark/>
          </w:tcPr>
          <w:p w14:paraId="3C1088E1"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p>
        </w:tc>
        <w:tc>
          <w:tcPr>
            <w:tcW w:w="471" w:type="pct"/>
            <w:tcBorders>
              <w:top w:val="nil"/>
              <w:left w:val="nil"/>
              <w:bottom w:val="single" w:sz="4" w:space="0" w:color="auto"/>
              <w:right w:val="single" w:sz="4" w:space="0" w:color="auto"/>
            </w:tcBorders>
            <w:shd w:val="clear" w:color="000000" w:fill="FFFFFF"/>
            <w:noWrap/>
            <w:vAlign w:val="center"/>
            <w:hideMark/>
          </w:tcPr>
          <w:p w14:paraId="615FE917" w14:textId="77777777" w:rsidR="004C19E9" w:rsidRPr="004C19E9" w:rsidRDefault="004C19E9" w:rsidP="004C19E9">
            <w:pPr>
              <w:spacing w:after="0" w:line="240" w:lineRule="auto"/>
              <w:jc w:val="center"/>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Denominator</w:t>
            </w:r>
          </w:p>
        </w:tc>
        <w:tc>
          <w:tcPr>
            <w:tcW w:w="1199" w:type="pct"/>
            <w:tcBorders>
              <w:top w:val="nil"/>
              <w:left w:val="nil"/>
              <w:bottom w:val="single" w:sz="4" w:space="0" w:color="auto"/>
              <w:right w:val="single" w:sz="4" w:space="0" w:color="auto"/>
            </w:tcBorders>
            <w:shd w:val="clear" w:color="000000" w:fill="FFFFFF"/>
            <w:hideMark/>
          </w:tcPr>
          <w:p w14:paraId="377E10E4"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 xml:space="preserve">number in the whole population </w:t>
            </w:r>
          </w:p>
        </w:tc>
        <w:tc>
          <w:tcPr>
            <w:tcW w:w="733" w:type="pct"/>
            <w:gridSpan w:val="2"/>
            <w:tcBorders>
              <w:top w:val="nil"/>
              <w:left w:val="nil"/>
              <w:bottom w:val="single" w:sz="4" w:space="0" w:color="auto"/>
              <w:right w:val="single" w:sz="4" w:space="0" w:color="auto"/>
            </w:tcBorders>
            <w:shd w:val="clear" w:color="000000" w:fill="FFFFFF"/>
            <w:noWrap/>
            <w:hideMark/>
          </w:tcPr>
          <w:p w14:paraId="7A5AC621" w14:textId="7CB23E2F" w:rsidR="004C19E9" w:rsidRPr="004C19E9" w:rsidRDefault="004C19E9" w:rsidP="001166FA">
            <w:pPr>
              <w:spacing w:after="0" w:line="240" w:lineRule="auto"/>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 xml:space="preserve">Population </w:t>
            </w:r>
            <w:r w:rsidR="001166FA">
              <w:rPr>
                <w:rFonts w:ascii="Calibri" w:eastAsia="Times New Roman" w:hAnsi="Calibri" w:cs="Calibri"/>
                <w:color w:val="000000"/>
                <w:sz w:val="20"/>
                <w:szCs w:val="20"/>
                <w:lang w:val="en-US" w:eastAsia="en-US"/>
              </w:rPr>
              <w:t xml:space="preserve">stats </w:t>
            </w:r>
          </w:p>
        </w:tc>
        <w:tc>
          <w:tcPr>
            <w:tcW w:w="364" w:type="pct"/>
            <w:vMerge/>
            <w:tcBorders>
              <w:top w:val="nil"/>
              <w:left w:val="single" w:sz="4" w:space="0" w:color="auto"/>
              <w:bottom w:val="single" w:sz="4" w:space="0" w:color="auto"/>
              <w:right w:val="single" w:sz="4" w:space="0" w:color="auto"/>
            </w:tcBorders>
            <w:vAlign w:val="center"/>
            <w:hideMark/>
          </w:tcPr>
          <w:p w14:paraId="076FCEE3"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p>
        </w:tc>
        <w:tc>
          <w:tcPr>
            <w:tcW w:w="300" w:type="pct"/>
            <w:vMerge/>
            <w:tcBorders>
              <w:top w:val="nil"/>
              <w:left w:val="single" w:sz="4" w:space="0" w:color="auto"/>
              <w:bottom w:val="single" w:sz="4" w:space="0" w:color="auto"/>
              <w:right w:val="single" w:sz="4" w:space="0" w:color="auto"/>
            </w:tcBorders>
            <w:vAlign w:val="center"/>
            <w:hideMark/>
          </w:tcPr>
          <w:p w14:paraId="67608758"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p>
        </w:tc>
        <w:tc>
          <w:tcPr>
            <w:tcW w:w="350" w:type="pct"/>
            <w:vMerge/>
            <w:tcBorders>
              <w:top w:val="nil"/>
              <w:left w:val="single" w:sz="4" w:space="0" w:color="auto"/>
              <w:bottom w:val="single" w:sz="4" w:space="0" w:color="auto"/>
              <w:right w:val="single" w:sz="4" w:space="0" w:color="auto"/>
            </w:tcBorders>
            <w:vAlign w:val="center"/>
            <w:hideMark/>
          </w:tcPr>
          <w:p w14:paraId="7D35339A"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p>
        </w:tc>
        <w:tc>
          <w:tcPr>
            <w:tcW w:w="296" w:type="pct"/>
            <w:vMerge/>
            <w:tcBorders>
              <w:top w:val="nil"/>
              <w:left w:val="single" w:sz="4" w:space="0" w:color="auto"/>
              <w:bottom w:val="single" w:sz="4" w:space="0" w:color="auto"/>
              <w:right w:val="single" w:sz="4" w:space="0" w:color="auto"/>
            </w:tcBorders>
            <w:vAlign w:val="center"/>
            <w:hideMark/>
          </w:tcPr>
          <w:p w14:paraId="7D0985B7"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p>
        </w:tc>
      </w:tr>
      <w:tr w:rsidR="001166FA" w:rsidRPr="004C19E9" w14:paraId="56FF6462" w14:textId="77777777" w:rsidTr="001166FA">
        <w:trPr>
          <w:trHeight w:val="705"/>
        </w:trPr>
        <w:tc>
          <w:tcPr>
            <w:tcW w:w="145"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669CFEEC" w14:textId="77777777" w:rsidR="004C19E9" w:rsidRPr="004C19E9" w:rsidRDefault="004C19E9" w:rsidP="004C19E9">
            <w:pPr>
              <w:spacing w:after="0" w:line="240" w:lineRule="auto"/>
              <w:jc w:val="center"/>
              <w:rPr>
                <w:rFonts w:ascii="Calibri" w:eastAsia="Times New Roman" w:hAnsi="Calibri" w:cs="Calibri"/>
                <w:b/>
                <w:bCs/>
                <w:color w:val="000000"/>
                <w:sz w:val="20"/>
                <w:szCs w:val="20"/>
                <w:lang w:val="en-US" w:eastAsia="en-US"/>
              </w:rPr>
            </w:pPr>
            <w:r w:rsidRPr="004C19E9">
              <w:rPr>
                <w:rFonts w:ascii="Calibri" w:eastAsia="Times New Roman" w:hAnsi="Calibri" w:cs="Calibri"/>
                <w:b/>
                <w:bCs/>
                <w:color w:val="000000"/>
                <w:sz w:val="20"/>
                <w:szCs w:val="20"/>
                <w:lang w:val="en-US" w:eastAsia="en-US"/>
              </w:rPr>
              <w:t>26</w:t>
            </w:r>
          </w:p>
        </w:tc>
        <w:tc>
          <w:tcPr>
            <w:tcW w:w="1142" w:type="pct"/>
            <w:vMerge w:val="restart"/>
            <w:tcBorders>
              <w:top w:val="nil"/>
              <w:left w:val="single" w:sz="4" w:space="0" w:color="auto"/>
              <w:bottom w:val="single" w:sz="4" w:space="0" w:color="auto"/>
              <w:right w:val="single" w:sz="4" w:space="0" w:color="auto"/>
            </w:tcBorders>
            <w:shd w:val="clear" w:color="000000" w:fill="FFFFFF"/>
            <w:vAlign w:val="center"/>
            <w:hideMark/>
          </w:tcPr>
          <w:p w14:paraId="2FECA330"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 xml:space="preserve">EC treatment of breast, cervical, colorectal and uterine cancers – proxied using the death to incidence ratio of each cancer*. </w:t>
            </w:r>
          </w:p>
        </w:tc>
        <w:tc>
          <w:tcPr>
            <w:tcW w:w="471" w:type="pct"/>
            <w:tcBorders>
              <w:top w:val="nil"/>
              <w:left w:val="nil"/>
              <w:bottom w:val="single" w:sz="4" w:space="0" w:color="auto"/>
              <w:right w:val="single" w:sz="4" w:space="0" w:color="auto"/>
            </w:tcBorders>
            <w:shd w:val="clear" w:color="000000" w:fill="FFFFFF"/>
            <w:noWrap/>
            <w:vAlign w:val="center"/>
            <w:hideMark/>
          </w:tcPr>
          <w:p w14:paraId="243D4128" w14:textId="77777777" w:rsidR="004C19E9" w:rsidRPr="004C19E9" w:rsidRDefault="004C19E9" w:rsidP="004C19E9">
            <w:pPr>
              <w:spacing w:after="0" w:line="240" w:lineRule="auto"/>
              <w:jc w:val="center"/>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Numerator</w:t>
            </w:r>
          </w:p>
        </w:tc>
        <w:tc>
          <w:tcPr>
            <w:tcW w:w="1199" w:type="pct"/>
            <w:tcBorders>
              <w:top w:val="nil"/>
              <w:left w:val="nil"/>
              <w:bottom w:val="single" w:sz="4" w:space="0" w:color="auto"/>
              <w:right w:val="single" w:sz="4" w:space="0" w:color="auto"/>
            </w:tcBorders>
            <w:shd w:val="clear" w:color="000000" w:fill="FFFFFF"/>
            <w:hideMark/>
          </w:tcPr>
          <w:p w14:paraId="5CF95167"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number of deaths due to each cancer</w:t>
            </w:r>
          </w:p>
        </w:tc>
        <w:tc>
          <w:tcPr>
            <w:tcW w:w="733" w:type="pct"/>
            <w:gridSpan w:val="2"/>
            <w:tcBorders>
              <w:top w:val="nil"/>
              <w:left w:val="nil"/>
              <w:bottom w:val="single" w:sz="4" w:space="0" w:color="auto"/>
              <w:right w:val="single" w:sz="4" w:space="0" w:color="auto"/>
            </w:tcBorders>
            <w:shd w:val="clear" w:color="000000" w:fill="FFFFFF"/>
            <w:hideMark/>
          </w:tcPr>
          <w:p w14:paraId="63B4CD42"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CRVS, Cancer registries, Population-based surveys</w:t>
            </w:r>
          </w:p>
        </w:tc>
        <w:tc>
          <w:tcPr>
            <w:tcW w:w="364" w:type="pct"/>
            <w:vMerge w:val="restart"/>
            <w:tcBorders>
              <w:top w:val="nil"/>
              <w:left w:val="single" w:sz="4" w:space="0" w:color="auto"/>
              <w:bottom w:val="single" w:sz="4" w:space="0" w:color="auto"/>
              <w:right w:val="single" w:sz="4" w:space="0" w:color="auto"/>
            </w:tcBorders>
            <w:shd w:val="clear" w:color="000000" w:fill="FFFFFF"/>
            <w:vAlign w:val="center"/>
            <w:hideMark/>
          </w:tcPr>
          <w:p w14:paraId="2A334BF2" w14:textId="77777777" w:rsidR="004C19E9" w:rsidRPr="004C19E9" w:rsidRDefault="004C19E9" w:rsidP="004C19E9">
            <w:pPr>
              <w:spacing w:after="0" w:line="240" w:lineRule="auto"/>
              <w:jc w:val="center"/>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105</w:t>
            </w:r>
          </w:p>
        </w:tc>
        <w:tc>
          <w:tcPr>
            <w:tcW w:w="300" w:type="pct"/>
            <w:vMerge w:val="restart"/>
            <w:tcBorders>
              <w:top w:val="nil"/>
              <w:left w:val="single" w:sz="4" w:space="0" w:color="auto"/>
              <w:bottom w:val="single" w:sz="4" w:space="0" w:color="auto"/>
              <w:right w:val="single" w:sz="4" w:space="0" w:color="auto"/>
            </w:tcBorders>
            <w:shd w:val="clear" w:color="000000" w:fill="FFFFFF"/>
            <w:vAlign w:val="center"/>
            <w:hideMark/>
          </w:tcPr>
          <w:p w14:paraId="0CF55D22" w14:textId="77777777" w:rsidR="004C19E9" w:rsidRPr="004C19E9" w:rsidRDefault="004C19E9" w:rsidP="004C19E9">
            <w:pPr>
              <w:spacing w:after="0" w:line="240" w:lineRule="auto"/>
              <w:jc w:val="center"/>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Yes</w:t>
            </w:r>
          </w:p>
        </w:tc>
        <w:tc>
          <w:tcPr>
            <w:tcW w:w="350" w:type="pct"/>
            <w:vMerge w:val="restart"/>
            <w:tcBorders>
              <w:top w:val="nil"/>
              <w:left w:val="single" w:sz="4" w:space="0" w:color="auto"/>
              <w:bottom w:val="single" w:sz="4" w:space="0" w:color="auto"/>
              <w:right w:val="single" w:sz="4" w:space="0" w:color="auto"/>
            </w:tcBorders>
            <w:shd w:val="clear" w:color="000000" w:fill="FFFFFF"/>
            <w:vAlign w:val="center"/>
            <w:hideMark/>
          </w:tcPr>
          <w:p w14:paraId="3C028924" w14:textId="77777777" w:rsidR="004C19E9" w:rsidRPr="004C19E9" w:rsidRDefault="004C19E9" w:rsidP="004C19E9">
            <w:pPr>
              <w:spacing w:after="0" w:line="240" w:lineRule="auto"/>
              <w:jc w:val="center"/>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Yes</w:t>
            </w:r>
          </w:p>
        </w:tc>
        <w:tc>
          <w:tcPr>
            <w:tcW w:w="296" w:type="pct"/>
            <w:vMerge w:val="restart"/>
            <w:tcBorders>
              <w:top w:val="nil"/>
              <w:left w:val="single" w:sz="4" w:space="0" w:color="auto"/>
              <w:bottom w:val="single" w:sz="4" w:space="0" w:color="auto"/>
              <w:right w:val="single" w:sz="4" w:space="0" w:color="auto"/>
            </w:tcBorders>
            <w:shd w:val="clear" w:color="000000" w:fill="FFFFFF"/>
            <w:vAlign w:val="center"/>
            <w:hideMark/>
          </w:tcPr>
          <w:p w14:paraId="4853EEDD" w14:textId="77777777" w:rsidR="004C19E9" w:rsidRPr="004C19E9" w:rsidRDefault="004C19E9" w:rsidP="004C19E9">
            <w:pPr>
              <w:spacing w:after="0" w:line="240" w:lineRule="auto"/>
              <w:jc w:val="center"/>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3.4.1</w:t>
            </w:r>
          </w:p>
        </w:tc>
      </w:tr>
      <w:tr w:rsidR="001166FA" w:rsidRPr="004C19E9" w14:paraId="1CC54955" w14:textId="77777777" w:rsidTr="001166FA">
        <w:trPr>
          <w:trHeight w:val="690"/>
        </w:trPr>
        <w:tc>
          <w:tcPr>
            <w:tcW w:w="145" w:type="pct"/>
            <w:vMerge/>
            <w:tcBorders>
              <w:top w:val="nil"/>
              <w:left w:val="single" w:sz="4" w:space="0" w:color="auto"/>
              <w:bottom w:val="single" w:sz="4" w:space="0" w:color="auto"/>
              <w:right w:val="single" w:sz="4" w:space="0" w:color="auto"/>
            </w:tcBorders>
            <w:vAlign w:val="center"/>
            <w:hideMark/>
          </w:tcPr>
          <w:p w14:paraId="1EBAE41D" w14:textId="77777777" w:rsidR="004C19E9" w:rsidRPr="004C19E9" w:rsidRDefault="004C19E9" w:rsidP="004C19E9">
            <w:pPr>
              <w:spacing w:after="0" w:line="240" w:lineRule="auto"/>
              <w:rPr>
                <w:rFonts w:ascii="Calibri" w:eastAsia="Times New Roman" w:hAnsi="Calibri" w:cs="Calibri"/>
                <w:b/>
                <w:bCs/>
                <w:color w:val="000000"/>
                <w:sz w:val="20"/>
                <w:szCs w:val="20"/>
                <w:lang w:val="en-US" w:eastAsia="en-US"/>
              </w:rPr>
            </w:pPr>
          </w:p>
        </w:tc>
        <w:tc>
          <w:tcPr>
            <w:tcW w:w="1142" w:type="pct"/>
            <w:vMerge/>
            <w:tcBorders>
              <w:top w:val="nil"/>
              <w:left w:val="single" w:sz="4" w:space="0" w:color="auto"/>
              <w:bottom w:val="single" w:sz="4" w:space="0" w:color="auto"/>
              <w:right w:val="single" w:sz="4" w:space="0" w:color="auto"/>
            </w:tcBorders>
            <w:vAlign w:val="center"/>
            <w:hideMark/>
          </w:tcPr>
          <w:p w14:paraId="02CDDE37"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p>
        </w:tc>
        <w:tc>
          <w:tcPr>
            <w:tcW w:w="471" w:type="pct"/>
            <w:tcBorders>
              <w:top w:val="nil"/>
              <w:left w:val="nil"/>
              <w:bottom w:val="single" w:sz="4" w:space="0" w:color="auto"/>
              <w:right w:val="single" w:sz="4" w:space="0" w:color="auto"/>
            </w:tcBorders>
            <w:shd w:val="clear" w:color="000000" w:fill="FFFFFF"/>
            <w:noWrap/>
            <w:vAlign w:val="center"/>
            <w:hideMark/>
          </w:tcPr>
          <w:p w14:paraId="2ED2A7DE" w14:textId="77777777" w:rsidR="004C19E9" w:rsidRPr="004C19E9" w:rsidRDefault="004C19E9" w:rsidP="004C19E9">
            <w:pPr>
              <w:spacing w:after="0" w:line="240" w:lineRule="auto"/>
              <w:jc w:val="center"/>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Denominator</w:t>
            </w:r>
          </w:p>
        </w:tc>
        <w:tc>
          <w:tcPr>
            <w:tcW w:w="1199" w:type="pct"/>
            <w:tcBorders>
              <w:top w:val="nil"/>
              <w:left w:val="nil"/>
              <w:bottom w:val="single" w:sz="4" w:space="0" w:color="auto"/>
              <w:right w:val="single" w:sz="4" w:space="0" w:color="auto"/>
            </w:tcBorders>
            <w:shd w:val="clear" w:color="000000" w:fill="FFFFFF"/>
            <w:hideMark/>
          </w:tcPr>
          <w:p w14:paraId="627EB8DB"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number of incident cases of each cancer (The effective coverage is calculated for each of the four cancers separately)</w:t>
            </w:r>
          </w:p>
        </w:tc>
        <w:tc>
          <w:tcPr>
            <w:tcW w:w="733" w:type="pct"/>
            <w:gridSpan w:val="2"/>
            <w:tcBorders>
              <w:top w:val="nil"/>
              <w:left w:val="nil"/>
              <w:bottom w:val="single" w:sz="4" w:space="0" w:color="auto"/>
              <w:right w:val="single" w:sz="4" w:space="0" w:color="auto"/>
            </w:tcBorders>
            <w:shd w:val="clear" w:color="000000" w:fill="FFFFFF"/>
            <w:hideMark/>
          </w:tcPr>
          <w:p w14:paraId="328685CC"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Cancer registries, Population-based surveys</w:t>
            </w:r>
          </w:p>
        </w:tc>
        <w:tc>
          <w:tcPr>
            <w:tcW w:w="364" w:type="pct"/>
            <w:vMerge/>
            <w:tcBorders>
              <w:top w:val="nil"/>
              <w:left w:val="single" w:sz="4" w:space="0" w:color="auto"/>
              <w:bottom w:val="single" w:sz="4" w:space="0" w:color="auto"/>
              <w:right w:val="single" w:sz="4" w:space="0" w:color="auto"/>
            </w:tcBorders>
            <w:vAlign w:val="center"/>
            <w:hideMark/>
          </w:tcPr>
          <w:p w14:paraId="6DC7AD96"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p>
        </w:tc>
        <w:tc>
          <w:tcPr>
            <w:tcW w:w="300" w:type="pct"/>
            <w:vMerge/>
            <w:tcBorders>
              <w:top w:val="nil"/>
              <w:left w:val="single" w:sz="4" w:space="0" w:color="auto"/>
              <w:bottom w:val="single" w:sz="4" w:space="0" w:color="auto"/>
              <w:right w:val="single" w:sz="4" w:space="0" w:color="auto"/>
            </w:tcBorders>
            <w:vAlign w:val="center"/>
            <w:hideMark/>
          </w:tcPr>
          <w:p w14:paraId="205B4277"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p>
        </w:tc>
        <w:tc>
          <w:tcPr>
            <w:tcW w:w="350" w:type="pct"/>
            <w:vMerge/>
            <w:tcBorders>
              <w:top w:val="nil"/>
              <w:left w:val="single" w:sz="4" w:space="0" w:color="auto"/>
              <w:bottom w:val="single" w:sz="4" w:space="0" w:color="auto"/>
              <w:right w:val="single" w:sz="4" w:space="0" w:color="auto"/>
            </w:tcBorders>
            <w:vAlign w:val="center"/>
            <w:hideMark/>
          </w:tcPr>
          <w:p w14:paraId="68118327"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p>
        </w:tc>
        <w:tc>
          <w:tcPr>
            <w:tcW w:w="296" w:type="pct"/>
            <w:vMerge/>
            <w:tcBorders>
              <w:top w:val="nil"/>
              <w:left w:val="single" w:sz="4" w:space="0" w:color="auto"/>
              <w:bottom w:val="single" w:sz="4" w:space="0" w:color="auto"/>
              <w:right w:val="single" w:sz="4" w:space="0" w:color="auto"/>
            </w:tcBorders>
            <w:vAlign w:val="center"/>
            <w:hideMark/>
          </w:tcPr>
          <w:p w14:paraId="02E16AA7"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p>
        </w:tc>
      </w:tr>
      <w:tr w:rsidR="001166FA" w:rsidRPr="004C19E9" w14:paraId="30619A2F" w14:textId="77777777" w:rsidTr="001166FA">
        <w:trPr>
          <w:trHeight w:val="600"/>
        </w:trPr>
        <w:tc>
          <w:tcPr>
            <w:tcW w:w="145"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579B125A" w14:textId="77777777" w:rsidR="004C19E9" w:rsidRPr="004C19E9" w:rsidRDefault="004C19E9" w:rsidP="004C19E9">
            <w:pPr>
              <w:spacing w:after="0" w:line="240" w:lineRule="auto"/>
              <w:jc w:val="center"/>
              <w:rPr>
                <w:rFonts w:ascii="Calibri" w:eastAsia="Times New Roman" w:hAnsi="Calibri" w:cs="Calibri"/>
                <w:b/>
                <w:bCs/>
                <w:color w:val="000000"/>
                <w:sz w:val="20"/>
                <w:szCs w:val="20"/>
                <w:lang w:val="en-US" w:eastAsia="en-US"/>
              </w:rPr>
            </w:pPr>
            <w:r w:rsidRPr="004C19E9">
              <w:rPr>
                <w:rFonts w:ascii="Calibri" w:eastAsia="Times New Roman" w:hAnsi="Calibri" w:cs="Calibri"/>
                <w:b/>
                <w:bCs/>
                <w:color w:val="000000"/>
                <w:sz w:val="20"/>
                <w:szCs w:val="20"/>
                <w:lang w:val="en-US" w:eastAsia="en-US"/>
              </w:rPr>
              <w:t>27</w:t>
            </w:r>
          </w:p>
        </w:tc>
        <w:tc>
          <w:tcPr>
            <w:tcW w:w="1142" w:type="pct"/>
            <w:vMerge w:val="restart"/>
            <w:tcBorders>
              <w:top w:val="nil"/>
              <w:left w:val="single" w:sz="4" w:space="0" w:color="auto"/>
              <w:bottom w:val="single" w:sz="4" w:space="0" w:color="auto"/>
              <w:right w:val="single" w:sz="4" w:space="0" w:color="auto"/>
            </w:tcBorders>
            <w:shd w:val="clear" w:color="000000" w:fill="FFFFFF"/>
            <w:vAlign w:val="center"/>
            <w:hideMark/>
          </w:tcPr>
          <w:p w14:paraId="731BFAAE"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 xml:space="preserve">EC treatment for ischaemic heart disease – proxied using the death to incidence   ratio for ischaemic heart disease*. </w:t>
            </w:r>
          </w:p>
        </w:tc>
        <w:tc>
          <w:tcPr>
            <w:tcW w:w="471" w:type="pct"/>
            <w:tcBorders>
              <w:top w:val="nil"/>
              <w:left w:val="nil"/>
              <w:bottom w:val="single" w:sz="4" w:space="0" w:color="auto"/>
              <w:right w:val="single" w:sz="4" w:space="0" w:color="auto"/>
            </w:tcBorders>
            <w:shd w:val="clear" w:color="000000" w:fill="FFFFFF"/>
            <w:noWrap/>
            <w:vAlign w:val="center"/>
            <w:hideMark/>
          </w:tcPr>
          <w:p w14:paraId="136CEC4F" w14:textId="77777777" w:rsidR="004C19E9" w:rsidRPr="004C19E9" w:rsidRDefault="004C19E9" w:rsidP="004C19E9">
            <w:pPr>
              <w:spacing w:after="0" w:line="240" w:lineRule="auto"/>
              <w:jc w:val="center"/>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Numerator</w:t>
            </w:r>
          </w:p>
        </w:tc>
        <w:tc>
          <w:tcPr>
            <w:tcW w:w="1199" w:type="pct"/>
            <w:tcBorders>
              <w:top w:val="nil"/>
              <w:left w:val="nil"/>
              <w:bottom w:val="single" w:sz="4" w:space="0" w:color="auto"/>
              <w:right w:val="single" w:sz="4" w:space="0" w:color="auto"/>
            </w:tcBorders>
            <w:shd w:val="clear" w:color="000000" w:fill="FFFFFF"/>
            <w:hideMark/>
          </w:tcPr>
          <w:p w14:paraId="54B2595B"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number of deaths due to ischaemic heart disease</w:t>
            </w:r>
          </w:p>
        </w:tc>
        <w:tc>
          <w:tcPr>
            <w:tcW w:w="733" w:type="pct"/>
            <w:gridSpan w:val="2"/>
            <w:tcBorders>
              <w:top w:val="nil"/>
              <w:left w:val="nil"/>
              <w:bottom w:val="single" w:sz="4" w:space="0" w:color="auto"/>
              <w:right w:val="single" w:sz="4" w:space="0" w:color="auto"/>
            </w:tcBorders>
            <w:shd w:val="clear" w:color="000000" w:fill="FFFFFF"/>
            <w:hideMark/>
          </w:tcPr>
          <w:p w14:paraId="591ADCE9"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CRVS, Populated-based surveys</w:t>
            </w:r>
          </w:p>
        </w:tc>
        <w:tc>
          <w:tcPr>
            <w:tcW w:w="364" w:type="pct"/>
            <w:vMerge w:val="restart"/>
            <w:tcBorders>
              <w:top w:val="nil"/>
              <w:left w:val="single" w:sz="4" w:space="0" w:color="auto"/>
              <w:bottom w:val="single" w:sz="4" w:space="0" w:color="auto"/>
              <w:right w:val="single" w:sz="4" w:space="0" w:color="auto"/>
            </w:tcBorders>
            <w:shd w:val="clear" w:color="000000" w:fill="FFFFFF"/>
            <w:vAlign w:val="center"/>
            <w:hideMark/>
          </w:tcPr>
          <w:p w14:paraId="7699C336" w14:textId="77777777" w:rsidR="004C19E9" w:rsidRPr="004C19E9" w:rsidRDefault="004C19E9" w:rsidP="004C19E9">
            <w:pPr>
              <w:spacing w:after="0" w:line="240" w:lineRule="auto"/>
              <w:jc w:val="center"/>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105</w:t>
            </w:r>
          </w:p>
        </w:tc>
        <w:tc>
          <w:tcPr>
            <w:tcW w:w="300" w:type="pct"/>
            <w:vMerge w:val="restart"/>
            <w:tcBorders>
              <w:top w:val="nil"/>
              <w:left w:val="single" w:sz="4" w:space="0" w:color="auto"/>
              <w:bottom w:val="single" w:sz="4" w:space="0" w:color="auto"/>
              <w:right w:val="single" w:sz="4" w:space="0" w:color="auto"/>
            </w:tcBorders>
            <w:shd w:val="clear" w:color="000000" w:fill="FFFFFF"/>
            <w:vAlign w:val="center"/>
            <w:hideMark/>
          </w:tcPr>
          <w:p w14:paraId="03E2F664" w14:textId="77777777" w:rsidR="004C19E9" w:rsidRPr="004C19E9" w:rsidRDefault="004C19E9" w:rsidP="004C19E9">
            <w:pPr>
              <w:spacing w:after="0" w:line="240" w:lineRule="auto"/>
              <w:jc w:val="center"/>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Yes</w:t>
            </w:r>
          </w:p>
        </w:tc>
        <w:tc>
          <w:tcPr>
            <w:tcW w:w="350" w:type="pct"/>
            <w:vMerge w:val="restart"/>
            <w:tcBorders>
              <w:top w:val="nil"/>
              <w:left w:val="single" w:sz="4" w:space="0" w:color="auto"/>
              <w:bottom w:val="single" w:sz="4" w:space="0" w:color="auto"/>
              <w:right w:val="single" w:sz="4" w:space="0" w:color="auto"/>
            </w:tcBorders>
            <w:shd w:val="clear" w:color="000000" w:fill="FFFFFF"/>
            <w:vAlign w:val="center"/>
            <w:hideMark/>
          </w:tcPr>
          <w:p w14:paraId="351312E6" w14:textId="77777777" w:rsidR="004C19E9" w:rsidRPr="004C19E9" w:rsidRDefault="004C19E9" w:rsidP="004C19E9">
            <w:pPr>
              <w:spacing w:after="0" w:line="240" w:lineRule="auto"/>
              <w:jc w:val="center"/>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Yes</w:t>
            </w:r>
          </w:p>
        </w:tc>
        <w:tc>
          <w:tcPr>
            <w:tcW w:w="296" w:type="pct"/>
            <w:vMerge w:val="restart"/>
            <w:tcBorders>
              <w:top w:val="nil"/>
              <w:left w:val="single" w:sz="4" w:space="0" w:color="auto"/>
              <w:bottom w:val="single" w:sz="4" w:space="0" w:color="auto"/>
              <w:right w:val="single" w:sz="4" w:space="0" w:color="auto"/>
            </w:tcBorders>
            <w:shd w:val="clear" w:color="000000" w:fill="FFFFFF"/>
            <w:vAlign w:val="center"/>
            <w:hideMark/>
          </w:tcPr>
          <w:p w14:paraId="37C8E0B7" w14:textId="77777777" w:rsidR="004C19E9" w:rsidRPr="004C19E9" w:rsidRDefault="004C19E9" w:rsidP="004C19E9">
            <w:pPr>
              <w:spacing w:after="0" w:line="240" w:lineRule="auto"/>
              <w:jc w:val="center"/>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3.4.1</w:t>
            </w:r>
          </w:p>
        </w:tc>
      </w:tr>
      <w:tr w:rsidR="001166FA" w:rsidRPr="004C19E9" w14:paraId="790E55AD" w14:textId="77777777" w:rsidTr="001166FA">
        <w:trPr>
          <w:trHeight w:val="675"/>
        </w:trPr>
        <w:tc>
          <w:tcPr>
            <w:tcW w:w="145" w:type="pct"/>
            <w:vMerge/>
            <w:tcBorders>
              <w:top w:val="nil"/>
              <w:left w:val="single" w:sz="4" w:space="0" w:color="auto"/>
              <w:bottom w:val="single" w:sz="4" w:space="0" w:color="auto"/>
              <w:right w:val="single" w:sz="4" w:space="0" w:color="auto"/>
            </w:tcBorders>
            <w:vAlign w:val="center"/>
            <w:hideMark/>
          </w:tcPr>
          <w:p w14:paraId="2B64BE6A" w14:textId="77777777" w:rsidR="004C19E9" w:rsidRPr="004C19E9" w:rsidRDefault="004C19E9" w:rsidP="004C19E9">
            <w:pPr>
              <w:spacing w:after="0" w:line="240" w:lineRule="auto"/>
              <w:rPr>
                <w:rFonts w:ascii="Calibri" w:eastAsia="Times New Roman" w:hAnsi="Calibri" w:cs="Calibri"/>
                <w:b/>
                <w:bCs/>
                <w:color w:val="000000"/>
                <w:sz w:val="20"/>
                <w:szCs w:val="20"/>
                <w:lang w:val="en-US" w:eastAsia="en-US"/>
              </w:rPr>
            </w:pPr>
          </w:p>
        </w:tc>
        <w:tc>
          <w:tcPr>
            <w:tcW w:w="1142" w:type="pct"/>
            <w:vMerge/>
            <w:tcBorders>
              <w:top w:val="nil"/>
              <w:left w:val="single" w:sz="4" w:space="0" w:color="auto"/>
              <w:bottom w:val="single" w:sz="4" w:space="0" w:color="auto"/>
              <w:right w:val="single" w:sz="4" w:space="0" w:color="auto"/>
            </w:tcBorders>
            <w:vAlign w:val="center"/>
            <w:hideMark/>
          </w:tcPr>
          <w:p w14:paraId="52E9AAF8"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p>
        </w:tc>
        <w:tc>
          <w:tcPr>
            <w:tcW w:w="471" w:type="pct"/>
            <w:tcBorders>
              <w:top w:val="nil"/>
              <w:left w:val="nil"/>
              <w:bottom w:val="single" w:sz="4" w:space="0" w:color="auto"/>
              <w:right w:val="single" w:sz="4" w:space="0" w:color="auto"/>
            </w:tcBorders>
            <w:shd w:val="clear" w:color="000000" w:fill="FFFFFF"/>
            <w:noWrap/>
            <w:vAlign w:val="center"/>
            <w:hideMark/>
          </w:tcPr>
          <w:p w14:paraId="6950CA5A" w14:textId="77777777" w:rsidR="004C19E9" w:rsidRPr="004C19E9" w:rsidRDefault="004C19E9" w:rsidP="004C19E9">
            <w:pPr>
              <w:spacing w:after="0" w:line="240" w:lineRule="auto"/>
              <w:jc w:val="center"/>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Denominator</w:t>
            </w:r>
          </w:p>
        </w:tc>
        <w:tc>
          <w:tcPr>
            <w:tcW w:w="1199" w:type="pct"/>
            <w:tcBorders>
              <w:top w:val="nil"/>
              <w:left w:val="nil"/>
              <w:bottom w:val="single" w:sz="4" w:space="0" w:color="auto"/>
              <w:right w:val="single" w:sz="4" w:space="0" w:color="auto"/>
            </w:tcBorders>
            <w:shd w:val="clear" w:color="000000" w:fill="FFFFFF"/>
            <w:hideMark/>
          </w:tcPr>
          <w:p w14:paraId="5B6FCBDD"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number of incident cases of ischaemic heart disease</w:t>
            </w:r>
          </w:p>
        </w:tc>
        <w:tc>
          <w:tcPr>
            <w:tcW w:w="733" w:type="pct"/>
            <w:gridSpan w:val="2"/>
            <w:tcBorders>
              <w:top w:val="nil"/>
              <w:left w:val="nil"/>
              <w:bottom w:val="single" w:sz="4" w:space="0" w:color="auto"/>
              <w:right w:val="single" w:sz="4" w:space="0" w:color="auto"/>
            </w:tcBorders>
            <w:shd w:val="clear" w:color="000000" w:fill="FFFFFF"/>
            <w:hideMark/>
          </w:tcPr>
          <w:p w14:paraId="6AECD013" w14:textId="5DD966A0" w:rsidR="004C19E9" w:rsidRPr="004C19E9" w:rsidRDefault="004C19E9" w:rsidP="004C19E9">
            <w:pPr>
              <w:spacing w:after="0" w:line="240" w:lineRule="auto"/>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National Surveillance, Population-</w:t>
            </w:r>
            <w:r w:rsidR="002A2174" w:rsidRPr="004C19E9">
              <w:rPr>
                <w:rFonts w:ascii="Calibri" w:eastAsia="Times New Roman" w:hAnsi="Calibri" w:cs="Calibri"/>
                <w:color w:val="000000"/>
                <w:sz w:val="20"/>
                <w:szCs w:val="20"/>
                <w:lang w:val="en-US" w:eastAsia="en-US"/>
              </w:rPr>
              <w:t>based surveys</w:t>
            </w:r>
            <w:r w:rsidRPr="004C19E9">
              <w:rPr>
                <w:rFonts w:ascii="Calibri" w:eastAsia="Times New Roman" w:hAnsi="Calibri" w:cs="Calibri"/>
                <w:color w:val="000000"/>
                <w:sz w:val="20"/>
                <w:szCs w:val="20"/>
                <w:lang w:val="en-US" w:eastAsia="en-US"/>
              </w:rPr>
              <w:t xml:space="preserve"> </w:t>
            </w:r>
          </w:p>
        </w:tc>
        <w:tc>
          <w:tcPr>
            <w:tcW w:w="364" w:type="pct"/>
            <w:vMerge/>
            <w:tcBorders>
              <w:top w:val="nil"/>
              <w:left w:val="single" w:sz="4" w:space="0" w:color="auto"/>
              <w:bottom w:val="single" w:sz="4" w:space="0" w:color="auto"/>
              <w:right w:val="single" w:sz="4" w:space="0" w:color="auto"/>
            </w:tcBorders>
            <w:vAlign w:val="center"/>
            <w:hideMark/>
          </w:tcPr>
          <w:p w14:paraId="19F74D3C"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p>
        </w:tc>
        <w:tc>
          <w:tcPr>
            <w:tcW w:w="300" w:type="pct"/>
            <w:vMerge/>
            <w:tcBorders>
              <w:top w:val="nil"/>
              <w:left w:val="single" w:sz="4" w:space="0" w:color="auto"/>
              <w:bottom w:val="single" w:sz="4" w:space="0" w:color="auto"/>
              <w:right w:val="single" w:sz="4" w:space="0" w:color="auto"/>
            </w:tcBorders>
            <w:vAlign w:val="center"/>
            <w:hideMark/>
          </w:tcPr>
          <w:p w14:paraId="3F5AB2AA"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p>
        </w:tc>
        <w:tc>
          <w:tcPr>
            <w:tcW w:w="350" w:type="pct"/>
            <w:vMerge/>
            <w:tcBorders>
              <w:top w:val="nil"/>
              <w:left w:val="single" w:sz="4" w:space="0" w:color="auto"/>
              <w:bottom w:val="single" w:sz="4" w:space="0" w:color="auto"/>
              <w:right w:val="single" w:sz="4" w:space="0" w:color="auto"/>
            </w:tcBorders>
            <w:vAlign w:val="center"/>
            <w:hideMark/>
          </w:tcPr>
          <w:p w14:paraId="1585029F"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p>
        </w:tc>
        <w:tc>
          <w:tcPr>
            <w:tcW w:w="296" w:type="pct"/>
            <w:vMerge/>
            <w:tcBorders>
              <w:top w:val="nil"/>
              <w:left w:val="single" w:sz="4" w:space="0" w:color="auto"/>
              <w:bottom w:val="single" w:sz="4" w:space="0" w:color="auto"/>
              <w:right w:val="single" w:sz="4" w:space="0" w:color="auto"/>
            </w:tcBorders>
            <w:vAlign w:val="center"/>
            <w:hideMark/>
          </w:tcPr>
          <w:p w14:paraId="2AC23F97"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p>
        </w:tc>
      </w:tr>
      <w:tr w:rsidR="001166FA" w:rsidRPr="004C19E9" w14:paraId="3C1140DB" w14:textId="77777777" w:rsidTr="001166FA">
        <w:trPr>
          <w:trHeight w:val="720"/>
        </w:trPr>
        <w:tc>
          <w:tcPr>
            <w:tcW w:w="145"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35F9B52D" w14:textId="77777777" w:rsidR="004C19E9" w:rsidRPr="004C19E9" w:rsidRDefault="004C19E9" w:rsidP="004C19E9">
            <w:pPr>
              <w:spacing w:after="0" w:line="240" w:lineRule="auto"/>
              <w:jc w:val="center"/>
              <w:rPr>
                <w:rFonts w:ascii="Calibri" w:eastAsia="Times New Roman" w:hAnsi="Calibri" w:cs="Calibri"/>
                <w:b/>
                <w:bCs/>
                <w:color w:val="000000"/>
                <w:sz w:val="20"/>
                <w:szCs w:val="20"/>
                <w:lang w:val="en-US" w:eastAsia="en-US"/>
              </w:rPr>
            </w:pPr>
            <w:r w:rsidRPr="004C19E9">
              <w:rPr>
                <w:rFonts w:ascii="Calibri" w:eastAsia="Times New Roman" w:hAnsi="Calibri" w:cs="Calibri"/>
                <w:b/>
                <w:bCs/>
                <w:color w:val="000000"/>
                <w:sz w:val="20"/>
                <w:szCs w:val="20"/>
                <w:lang w:val="en-US" w:eastAsia="en-US"/>
              </w:rPr>
              <w:t>28</w:t>
            </w:r>
          </w:p>
        </w:tc>
        <w:tc>
          <w:tcPr>
            <w:tcW w:w="1142" w:type="pct"/>
            <w:vMerge w:val="restart"/>
            <w:tcBorders>
              <w:top w:val="nil"/>
              <w:left w:val="single" w:sz="4" w:space="0" w:color="auto"/>
              <w:bottom w:val="single" w:sz="4" w:space="0" w:color="auto"/>
              <w:right w:val="single" w:sz="4" w:space="0" w:color="auto"/>
            </w:tcBorders>
            <w:shd w:val="clear" w:color="000000" w:fill="FFFFFF"/>
            <w:vAlign w:val="center"/>
            <w:hideMark/>
          </w:tcPr>
          <w:p w14:paraId="47A84568"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 xml:space="preserve">EC treatment for stroke – proxied using the death to incidence ratio for stroke *. </w:t>
            </w:r>
          </w:p>
        </w:tc>
        <w:tc>
          <w:tcPr>
            <w:tcW w:w="471" w:type="pct"/>
            <w:tcBorders>
              <w:top w:val="nil"/>
              <w:left w:val="nil"/>
              <w:bottom w:val="single" w:sz="4" w:space="0" w:color="auto"/>
              <w:right w:val="single" w:sz="4" w:space="0" w:color="auto"/>
            </w:tcBorders>
            <w:shd w:val="clear" w:color="000000" w:fill="FFFFFF"/>
            <w:noWrap/>
            <w:vAlign w:val="center"/>
            <w:hideMark/>
          </w:tcPr>
          <w:p w14:paraId="1D7B7A41" w14:textId="77777777" w:rsidR="004C19E9" w:rsidRPr="004C19E9" w:rsidRDefault="004C19E9" w:rsidP="004C19E9">
            <w:pPr>
              <w:spacing w:after="0" w:line="240" w:lineRule="auto"/>
              <w:jc w:val="center"/>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Numerator</w:t>
            </w:r>
          </w:p>
        </w:tc>
        <w:tc>
          <w:tcPr>
            <w:tcW w:w="1199" w:type="pct"/>
            <w:tcBorders>
              <w:top w:val="nil"/>
              <w:left w:val="nil"/>
              <w:bottom w:val="single" w:sz="4" w:space="0" w:color="auto"/>
              <w:right w:val="single" w:sz="4" w:space="0" w:color="auto"/>
            </w:tcBorders>
            <w:shd w:val="clear" w:color="000000" w:fill="FFFFFF"/>
            <w:hideMark/>
          </w:tcPr>
          <w:p w14:paraId="250DD06E"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number of deaths due to stroke</w:t>
            </w:r>
          </w:p>
        </w:tc>
        <w:tc>
          <w:tcPr>
            <w:tcW w:w="733" w:type="pct"/>
            <w:gridSpan w:val="2"/>
            <w:tcBorders>
              <w:top w:val="nil"/>
              <w:left w:val="nil"/>
              <w:bottom w:val="single" w:sz="4" w:space="0" w:color="auto"/>
              <w:right w:val="single" w:sz="4" w:space="0" w:color="auto"/>
            </w:tcBorders>
            <w:shd w:val="clear" w:color="000000" w:fill="FFFFFF"/>
            <w:hideMark/>
          </w:tcPr>
          <w:p w14:paraId="1E01C402"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CRVS, Populated-based surveys</w:t>
            </w:r>
          </w:p>
        </w:tc>
        <w:tc>
          <w:tcPr>
            <w:tcW w:w="364" w:type="pct"/>
            <w:vMerge w:val="restart"/>
            <w:tcBorders>
              <w:top w:val="nil"/>
              <w:left w:val="single" w:sz="4" w:space="0" w:color="auto"/>
              <w:bottom w:val="single" w:sz="4" w:space="0" w:color="auto"/>
              <w:right w:val="single" w:sz="4" w:space="0" w:color="auto"/>
            </w:tcBorders>
            <w:shd w:val="clear" w:color="000000" w:fill="FFFFFF"/>
            <w:vAlign w:val="center"/>
            <w:hideMark/>
          </w:tcPr>
          <w:p w14:paraId="44C95578" w14:textId="77777777" w:rsidR="004C19E9" w:rsidRPr="004C19E9" w:rsidRDefault="004C19E9" w:rsidP="004C19E9">
            <w:pPr>
              <w:spacing w:after="0" w:line="240" w:lineRule="auto"/>
              <w:jc w:val="center"/>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105</w:t>
            </w:r>
          </w:p>
        </w:tc>
        <w:tc>
          <w:tcPr>
            <w:tcW w:w="300" w:type="pct"/>
            <w:vMerge w:val="restart"/>
            <w:tcBorders>
              <w:top w:val="nil"/>
              <w:left w:val="single" w:sz="4" w:space="0" w:color="auto"/>
              <w:bottom w:val="single" w:sz="4" w:space="0" w:color="auto"/>
              <w:right w:val="single" w:sz="4" w:space="0" w:color="auto"/>
            </w:tcBorders>
            <w:shd w:val="clear" w:color="000000" w:fill="FFFFFF"/>
            <w:vAlign w:val="center"/>
            <w:hideMark/>
          </w:tcPr>
          <w:p w14:paraId="7AE0C723" w14:textId="77777777" w:rsidR="004C19E9" w:rsidRPr="004C19E9" w:rsidRDefault="004C19E9" w:rsidP="004C19E9">
            <w:pPr>
              <w:spacing w:after="0" w:line="240" w:lineRule="auto"/>
              <w:jc w:val="center"/>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Yes</w:t>
            </w:r>
          </w:p>
        </w:tc>
        <w:tc>
          <w:tcPr>
            <w:tcW w:w="350" w:type="pct"/>
            <w:vMerge w:val="restart"/>
            <w:tcBorders>
              <w:top w:val="nil"/>
              <w:left w:val="single" w:sz="4" w:space="0" w:color="auto"/>
              <w:bottom w:val="single" w:sz="4" w:space="0" w:color="auto"/>
              <w:right w:val="single" w:sz="4" w:space="0" w:color="auto"/>
            </w:tcBorders>
            <w:shd w:val="clear" w:color="000000" w:fill="FFFFFF"/>
            <w:vAlign w:val="center"/>
            <w:hideMark/>
          </w:tcPr>
          <w:p w14:paraId="1C449529" w14:textId="77777777" w:rsidR="004C19E9" w:rsidRPr="004C19E9" w:rsidRDefault="004C19E9" w:rsidP="004C19E9">
            <w:pPr>
              <w:spacing w:after="0" w:line="240" w:lineRule="auto"/>
              <w:jc w:val="center"/>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Yes</w:t>
            </w:r>
          </w:p>
        </w:tc>
        <w:tc>
          <w:tcPr>
            <w:tcW w:w="296" w:type="pct"/>
            <w:vMerge w:val="restart"/>
            <w:tcBorders>
              <w:top w:val="nil"/>
              <w:left w:val="single" w:sz="4" w:space="0" w:color="auto"/>
              <w:bottom w:val="single" w:sz="4" w:space="0" w:color="auto"/>
              <w:right w:val="single" w:sz="4" w:space="0" w:color="auto"/>
            </w:tcBorders>
            <w:shd w:val="clear" w:color="000000" w:fill="FFFFFF"/>
            <w:vAlign w:val="center"/>
            <w:hideMark/>
          </w:tcPr>
          <w:p w14:paraId="0E1AFAB9" w14:textId="77777777" w:rsidR="004C19E9" w:rsidRPr="004C19E9" w:rsidRDefault="004C19E9" w:rsidP="004C19E9">
            <w:pPr>
              <w:spacing w:after="0" w:line="240" w:lineRule="auto"/>
              <w:jc w:val="center"/>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3.4.1.</w:t>
            </w:r>
          </w:p>
        </w:tc>
      </w:tr>
      <w:tr w:rsidR="001166FA" w:rsidRPr="004C19E9" w14:paraId="3CAF6428" w14:textId="77777777" w:rsidTr="001166FA">
        <w:trPr>
          <w:trHeight w:val="765"/>
        </w:trPr>
        <w:tc>
          <w:tcPr>
            <w:tcW w:w="145" w:type="pct"/>
            <w:vMerge/>
            <w:tcBorders>
              <w:top w:val="nil"/>
              <w:left w:val="single" w:sz="4" w:space="0" w:color="auto"/>
              <w:bottom w:val="single" w:sz="4" w:space="0" w:color="auto"/>
              <w:right w:val="single" w:sz="4" w:space="0" w:color="auto"/>
            </w:tcBorders>
            <w:vAlign w:val="center"/>
            <w:hideMark/>
          </w:tcPr>
          <w:p w14:paraId="7CF1ED7E" w14:textId="77777777" w:rsidR="004C19E9" w:rsidRPr="004C19E9" w:rsidRDefault="004C19E9" w:rsidP="004C19E9">
            <w:pPr>
              <w:spacing w:after="0" w:line="240" w:lineRule="auto"/>
              <w:rPr>
                <w:rFonts w:ascii="Calibri" w:eastAsia="Times New Roman" w:hAnsi="Calibri" w:cs="Calibri"/>
                <w:b/>
                <w:bCs/>
                <w:color w:val="000000"/>
                <w:sz w:val="20"/>
                <w:szCs w:val="20"/>
                <w:lang w:val="en-US" w:eastAsia="en-US"/>
              </w:rPr>
            </w:pPr>
          </w:p>
        </w:tc>
        <w:tc>
          <w:tcPr>
            <w:tcW w:w="1142" w:type="pct"/>
            <w:vMerge/>
            <w:tcBorders>
              <w:top w:val="nil"/>
              <w:left w:val="single" w:sz="4" w:space="0" w:color="auto"/>
              <w:bottom w:val="single" w:sz="4" w:space="0" w:color="auto"/>
              <w:right w:val="single" w:sz="4" w:space="0" w:color="auto"/>
            </w:tcBorders>
            <w:vAlign w:val="center"/>
            <w:hideMark/>
          </w:tcPr>
          <w:p w14:paraId="6830F61A"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p>
        </w:tc>
        <w:tc>
          <w:tcPr>
            <w:tcW w:w="471" w:type="pct"/>
            <w:tcBorders>
              <w:top w:val="nil"/>
              <w:left w:val="nil"/>
              <w:bottom w:val="single" w:sz="4" w:space="0" w:color="auto"/>
              <w:right w:val="single" w:sz="4" w:space="0" w:color="auto"/>
            </w:tcBorders>
            <w:shd w:val="clear" w:color="000000" w:fill="FFFFFF"/>
            <w:noWrap/>
            <w:vAlign w:val="center"/>
            <w:hideMark/>
          </w:tcPr>
          <w:p w14:paraId="395E430D" w14:textId="77777777" w:rsidR="004C19E9" w:rsidRPr="004C19E9" w:rsidRDefault="004C19E9" w:rsidP="004C19E9">
            <w:pPr>
              <w:spacing w:after="0" w:line="240" w:lineRule="auto"/>
              <w:jc w:val="center"/>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Denominator</w:t>
            </w:r>
          </w:p>
        </w:tc>
        <w:tc>
          <w:tcPr>
            <w:tcW w:w="1199" w:type="pct"/>
            <w:tcBorders>
              <w:top w:val="nil"/>
              <w:left w:val="nil"/>
              <w:bottom w:val="single" w:sz="4" w:space="0" w:color="auto"/>
              <w:right w:val="single" w:sz="4" w:space="0" w:color="auto"/>
            </w:tcBorders>
            <w:shd w:val="clear" w:color="000000" w:fill="FFFFFF"/>
            <w:hideMark/>
          </w:tcPr>
          <w:p w14:paraId="703F0A02"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 xml:space="preserve">number of incident cases of stroke </w:t>
            </w:r>
          </w:p>
        </w:tc>
        <w:tc>
          <w:tcPr>
            <w:tcW w:w="733" w:type="pct"/>
            <w:gridSpan w:val="2"/>
            <w:tcBorders>
              <w:top w:val="nil"/>
              <w:left w:val="nil"/>
              <w:bottom w:val="single" w:sz="4" w:space="0" w:color="auto"/>
              <w:right w:val="single" w:sz="4" w:space="0" w:color="auto"/>
            </w:tcBorders>
            <w:shd w:val="clear" w:color="000000" w:fill="FFFFFF"/>
            <w:hideMark/>
          </w:tcPr>
          <w:p w14:paraId="3D6FE916" w14:textId="3AB81D53" w:rsidR="004C19E9" w:rsidRPr="004C19E9" w:rsidRDefault="004C19E9" w:rsidP="004C19E9">
            <w:pPr>
              <w:spacing w:after="0" w:line="240" w:lineRule="auto"/>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National Surveillance, national registries/ Population-</w:t>
            </w:r>
            <w:r w:rsidR="002A2174" w:rsidRPr="004C19E9">
              <w:rPr>
                <w:rFonts w:ascii="Calibri" w:eastAsia="Times New Roman" w:hAnsi="Calibri" w:cs="Calibri"/>
                <w:color w:val="000000"/>
                <w:sz w:val="20"/>
                <w:szCs w:val="20"/>
                <w:lang w:val="en-US" w:eastAsia="en-US"/>
              </w:rPr>
              <w:t>based surveys</w:t>
            </w:r>
            <w:r w:rsidRPr="004C19E9">
              <w:rPr>
                <w:rFonts w:ascii="Calibri" w:eastAsia="Times New Roman" w:hAnsi="Calibri" w:cs="Calibri"/>
                <w:color w:val="000000"/>
                <w:sz w:val="20"/>
                <w:szCs w:val="20"/>
                <w:lang w:val="en-US" w:eastAsia="en-US"/>
              </w:rPr>
              <w:t xml:space="preserve"> </w:t>
            </w:r>
          </w:p>
        </w:tc>
        <w:tc>
          <w:tcPr>
            <w:tcW w:w="364" w:type="pct"/>
            <w:vMerge/>
            <w:tcBorders>
              <w:top w:val="nil"/>
              <w:left w:val="single" w:sz="4" w:space="0" w:color="auto"/>
              <w:bottom w:val="single" w:sz="4" w:space="0" w:color="auto"/>
              <w:right w:val="single" w:sz="4" w:space="0" w:color="auto"/>
            </w:tcBorders>
            <w:vAlign w:val="center"/>
            <w:hideMark/>
          </w:tcPr>
          <w:p w14:paraId="094DBC4C"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p>
        </w:tc>
        <w:tc>
          <w:tcPr>
            <w:tcW w:w="300" w:type="pct"/>
            <w:vMerge/>
            <w:tcBorders>
              <w:top w:val="nil"/>
              <w:left w:val="single" w:sz="4" w:space="0" w:color="auto"/>
              <w:bottom w:val="single" w:sz="4" w:space="0" w:color="auto"/>
              <w:right w:val="single" w:sz="4" w:space="0" w:color="auto"/>
            </w:tcBorders>
            <w:vAlign w:val="center"/>
            <w:hideMark/>
          </w:tcPr>
          <w:p w14:paraId="063D7825"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p>
        </w:tc>
        <w:tc>
          <w:tcPr>
            <w:tcW w:w="350" w:type="pct"/>
            <w:vMerge/>
            <w:tcBorders>
              <w:top w:val="nil"/>
              <w:left w:val="single" w:sz="4" w:space="0" w:color="auto"/>
              <w:bottom w:val="single" w:sz="4" w:space="0" w:color="auto"/>
              <w:right w:val="single" w:sz="4" w:space="0" w:color="auto"/>
            </w:tcBorders>
            <w:vAlign w:val="center"/>
            <w:hideMark/>
          </w:tcPr>
          <w:p w14:paraId="7F36D052"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p>
        </w:tc>
        <w:tc>
          <w:tcPr>
            <w:tcW w:w="296" w:type="pct"/>
            <w:vMerge/>
            <w:tcBorders>
              <w:top w:val="nil"/>
              <w:left w:val="single" w:sz="4" w:space="0" w:color="auto"/>
              <w:bottom w:val="single" w:sz="4" w:space="0" w:color="auto"/>
              <w:right w:val="single" w:sz="4" w:space="0" w:color="auto"/>
            </w:tcBorders>
            <w:vAlign w:val="center"/>
            <w:hideMark/>
          </w:tcPr>
          <w:p w14:paraId="74E2D26C"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p>
        </w:tc>
      </w:tr>
      <w:tr w:rsidR="001166FA" w:rsidRPr="004C19E9" w14:paraId="1D5B38AA" w14:textId="77777777" w:rsidTr="001166FA">
        <w:trPr>
          <w:trHeight w:val="615"/>
        </w:trPr>
        <w:tc>
          <w:tcPr>
            <w:tcW w:w="145"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2FA2342A" w14:textId="77777777" w:rsidR="004C19E9" w:rsidRPr="004C19E9" w:rsidRDefault="004C19E9" w:rsidP="004C19E9">
            <w:pPr>
              <w:spacing w:after="0" w:line="240" w:lineRule="auto"/>
              <w:jc w:val="center"/>
              <w:rPr>
                <w:rFonts w:ascii="Calibri" w:eastAsia="Times New Roman" w:hAnsi="Calibri" w:cs="Calibri"/>
                <w:b/>
                <w:bCs/>
                <w:color w:val="000000"/>
                <w:sz w:val="20"/>
                <w:szCs w:val="20"/>
                <w:lang w:val="en-US" w:eastAsia="en-US"/>
              </w:rPr>
            </w:pPr>
            <w:r w:rsidRPr="004C19E9">
              <w:rPr>
                <w:rFonts w:ascii="Calibri" w:eastAsia="Times New Roman" w:hAnsi="Calibri" w:cs="Calibri"/>
                <w:b/>
                <w:bCs/>
                <w:color w:val="000000"/>
                <w:sz w:val="20"/>
                <w:szCs w:val="20"/>
                <w:lang w:val="en-US" w:eastAsia="en-US"/>
              </w:rPr>
              <w:t>29</w:t>
            </w:r>
          </w:p>
        </w:tc>
        <w:tc>
          <w:tcPr>
            <w:tcW w:w="1142" w:type="pct"/>
            <w:vMerge w:val="restart"/>
            <w:tcBorders>
              <w:top w:val="nil"/>
              <w:left w:val="single" w:sz="4" w:space="0" w:color="auto"/>
              <w:bottom w:val="single" w:sz="4" w:space="0" w:color="auto"/>
              <w:right w:val="single" w:sz="4" w:space="0" w:color="auto"/>
            </w:tcBorders>
            <w:shd w:val="clear" w:color="000000" w:fill="FFFFFF"/>
            <w:vAlign w:val="center"/>
            <w:hideMark/>
          </w:tcPr>
          <w:p w14:paraId="7CB7FCBB"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 xml:space="preserve">EC treatment of chronic obstructive pulmonary disease – proxied using the death to prevalence   ratio for chronic obstructive pulmonary disease*. </w:t>
            </w:r>
          </w:p>
        </w:tc>
        <w:tc>
          <w:tcPr>
            <w:tcW w:w="471" w:type="pct"/>
            <w:tcBorders>
              <w:top w:val="nil"/>
              <w:left w:val="nil"/>
              <w:bottom w:val="single" w:sz="4" w:space="0" w:color="auto"/>
              <w:right w:val="single" w:sz="4" w:space="0" w:color="auto"/>
            </w:tcBorders>
            <w:shd w:val="clear" w:color="000000" w:fill="FFFFFF"/>
            <w:noWrap/>
            <w:vAlign w:val="center"/>
            <w:hideMark/>
          </w:tcPr>
          <w:p w14:paraId="39678B18" w14:textId="77777777" w:rsidR="004C19E9" w:rsidRPr="004C19E9" w:rsidRDefault="004C19E9" w:rsidP="004C19E9">
            <w:pPr>
              <w:spacing w:after="0" w:line="240" w:lineRule="auto"/>
              <w:jc w:val="center"/>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Numerator</w:t>
            </w:r>
          </w:p>
        </w:tc>
        <w:tc>
          <w:tcPr>
            <w:tcW w:w="1199" w:type="pct"/>
            <w:tcBorders>
              <w:top w:val="nil"/>
              <w:left w:val="nil"/>
              <w:bottom w:val="single" w:sz="4" w:space="0" w:color="auto"/>
              <w:right w:val="single" w:sz="4" w:space="0" w:color="auto"/>
            </w:tcBorders>
            <w:shd w:val="clear" w:color="000000" w:fill="FFFFFF"/>
            <w:hideMark/>
          </w:tcPr>
          <w:p w14:paraId="544FE69E"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number of deaths due to chronic obstructive pulmonary disease</w:t>
            </w:r>
          </w:p>
        </w:tc>
        <w:tc>
          <w:tcPr>
            <w:tcW w:w="733" w:type="pct"/>
            <w:gridSpan w:val="2"/>
            <w:tcBorders>
              <w:top w:val="nil"/>
              <w:left w:val="nil"/>
              <w:bottom w:val="single" w:sz="4" w:space="0" w:color="auto"/>
              <w:right w:val="single" w:sz="4" w:space="0" w:color="auto"/>
            </w:tcBorders>
            <w:shd w:val="clear" w:color="000000" w:fill="FFFFFF"/>
            <w:hideMark/>
          </w:tcPr>
          <w:p w14:paraId="184F1F81"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CRVS, Populated-based surveys</w:t>
            </w:r>
          </w:p>
        </w:tc>
        <w:tc>
          <w:tcPr>
            <w:tcW w:w="364" w:type="pct"/>
            <w:vMerge w:val="restart"/>
            <w:tcBorders>
              <w:top w:val="nil"/>
              <w:left w:val="single" w:sz="4" w:space="0" w:color="auto"/>
              <w:bottom w:val="single" w:sz="4" w:space="0" w:color="auto"/>
              <w:right w:val="single" w:sz="4" w:space="0" w:color="auto"/>
            </w:tcBorders>
            <w:shd w:val="clear" w:color="000000" w:fill="FFFFFF"/>
            <w:vAlign w:val="center"/>
            <w:hideMark/>
          </w:tcPr>
          <w:p w14:paraId="2E78651E" w14:textId="77777777" w:rsidR="004C19E9" w:rsidRPr="004C19E9" w:rsidRDefault="004C19E9" w:rsidP="004C19E9">
            <w:pPr>
              <w:spacing w:after="0" w:line="240" w:lineRule="auto"/>
              <w:jc w:val="center"/>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105</w:t>
            </w:r>
          </w:p>
        </w:tc>
        <w:tc>
          <w:tcPr>
            <w:tcW w:w="300" w:type="pct"/>
            <w:vMerge w:val="restart"/>
            <w:tcBorders>
              <w:top w:val="nil"/>
              <w:left w:val="single" w:sz="4" w:space="0" w:color="auto"/>
              <w:bottom w:val="single" w:sz="4" w:space="0" w:color="auto"/>
              <w:right w:val="single" w:sz="4" w:space="0" w:color="auto"/>
            </w:tcBorders>
            <w:shd w:val="clear" w:color="000000" w:fill="FFFFFF"/>
            <w:vAlign w:val="center"/>
            <w:hideMark/>
          </w:tcPr>
          <w:p w14:paraId="5BCBEDCA" w14:textId="77777777" w:rsidR="004C19E9" w:rsidRPr="004C19E9" w:rsidRDefault="004C19E9" w:rsidP="004C19E9">
            <w:pPr>
              <w:spacing w:after="0" w:line="240" w:lineRule="auto"/>
              <w:jc w:val="center"/>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Yes</w:t>
            </w:r>
          </w:p>
        </w:tc>
        <w:tc>
          <w:tcPr>
            <w:tcW w:w="350" w:type="pct"/>
            <w:vMerge w:val="restart"/>
            <w:tcBorders>
              <w:top w:val="nil"/>
              <w:left w:val="single" w:sz="4" w:space="0" w:color="auto"/>
              <w:bottom w:val="single" w:sz="4" w:space="0" w:color="auto"/>
              <w:right w:val="single" w:sz="4" w:space="0" w:color="auto"/>
            </w:tcBorders>
            <w:shd w:val="clear" w:color="000000" w:fill="FFFFFF"/>
            <w:vAlign w:val="center"/>
            <w:hideMark/>
          </w:tcPr>
          <w:p w14:paraId="396E3992" w14:textId="77777777" w:rsidR="004C19E9" w:rsidRPr="004C19E9" w:rsidRDefault="004C19E9" w:rsidP="004C19E9">
            <w:pPr>
              <w:spacing w:after="0" w:line="240" w:lineRule="auto"/>
              <w:jc w:val="center"/>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Yes</w:t>
            </w:r>
          </w:p>
        </w:tc>
        <w:tc>
          <w:tcPr>
            <w:tcW w:w="296" w:type="pct"/>
            <w:vMerge w:val="restart"/>
            <w:tcBorders>
              <w:top w:val="nil"/>
              <w:left w:val="single" w:sz="4" w:space="0" w:color="auto"/>
              <w:bottom w:val="single" w:sz="4" w:space="0" w:color="auto"/>
              <w:right w:val="single" w:sz="4" w:space="0" w:color="auto"/>
            </w:tcBorders>
            <w:shd w:val="clear" w:color="000000" w:fill="FFFFFF"/>
            <w:vAlign w:val="center"/>
            <w:hideMark/>
          </w:tcPr>
          <w:p w14:paraId="54A3720D" w14:textId="77777777" w:rsidR="004C19E9" w:rsidRPr="004C19E9" w:rsidRDefault="004C19E9" w:rsidP="004C19E9">
            <w:pPr>
              <w:spacing w:after="0" w:line="240" w:lineRule="auto"/>
              <w:jc w:val="center"/>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3.4.1</w:t>
            </w:r>
          </w:p>
        </w:tc>
      </w:tr>
      <w:tr w:rsidR="001166FA" w:rsidRPr="004C19E9" w14:paraId="1AF7F805" w14:textId="77777777" w:rsidTr="001166FA">
        <w:trPr>
          <w:trHeight w:val="675"/>
        </w:trPr>
        <w:tc>
          <w:tcPr>
            <w:tcW w:w="145" w:type="pct"/>
            <w:vMerge/>
            <w:tcBorders>
              <w:top w:val="nil"/>
              <w:left w:val="single" w:sz="4" w:space="0" w:color="auto"/>
              <w:bottom w:val="single" w:sz="4" w:space="0" w:color="auto"/>
              <w:right w:val="single" w:sz="4" w:space="0" w:color="auto"/>
            </w:tcBorders>
            <w:vAlign w:val="center"/>
            <w:hideMark/>
          </w:tcPr>
          <w:p w14:paraId="4F99805D" w14:textId="77777777" w:rsidR="004C19E9" w:rsidRPr="004C19E9" w:rsidRDefault="004C19E9" w:rsidP="004C19E9">
            <w:pPr>
              <w:spacing w:after="0" w:line="240" w:lineRule="auto"/>
              <w:rPr>
                <w:rFonts w:ascii="Calibri" w:eastAsia="Times New Roman" w:hAnsi="Calibri" w:cs="Calibri"/>
                <w:b/>
                <w:bCs/>
                <w:color w:val="000000"/>
                <w:sz w:val="20"/>
                <w:szCs w:val="20"/>
                <w:lang w:val="en-US" w:eastAsia="en-US"/>
              </w:rPr>
            </w:pPr>
          </w:p>
        </w:tc>
        <w:tc>
          <w:tcPr>
            <w:tcW w:w="1142" w:type="pct"/>
            <w:vMerge/>
            <w:tcBorders>
              <w:top w:val="nil"/>
              <w:left w:val="single" w:sz="4" w:space="0" w:color="auto"/>
              <w:bottom w:val="single" w:sz="4" w:space="0" w:color="auto"/>
              <w:right w:val="single" w:sz="4" w:space="0" w:color="auto"/>
            </w:tcBorders>
            <w:vAlign w:val="center"/>
            <w:hideMark/>
          </w:tcPr>
          <w:p w14:paraId="4EDE48E0"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p>
        </w:tc>
        <w:tc>
          <w:tcPr>
            <w:tcW w:w="471" w:type="pct"/>
            <w:tcBorders>
              <w:top w:val="nil"/>
              <w:left w:val="nil"/>
              <w:bottom w:val="single" w:sz="4" w:space="0" w:color="auto"/>
              <w:right w:val="single" w:sz="4" w:space="0" w:color="auto"/>
            </w:tcBorders>
            <w:shd w:val="clear" w:color="000000" w:fill="FFFFFF"/>
            <w:noWrap/>
            <w:vAlign w:val="center"/>
            <w:hideMark/>
          </w:tcPr>
          <w:p w14:paraId="409E9217" w14:textId="77777777" w:rsidR="004C19E9" w:rsidRPr="004C19E9" w:rsidRDefault="004C19E9" w:rsidP="004C19E9">
            <w:pPr>
              <w:spacing w:after="0" w:line="240" w:lineRule="auto"/>
              <w:jc w:val="center"/>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Denominator</w:t>
            </w:r>
          </w:p>
        </w:tc>
        <w:tc>
          <w:tcPr>
            <w:tcW w:w="1199" w:type="pct"/>
            <w:tcBorders>
              <w:top w:val="nil"/>
              <w:left w:val="nil"/>
              <w:bottom w:val="single" w:sz="4" w:space="0" w:color="auto"/>
              <w:right w:val="single" w:sz="4" w:space="0" w:color="auto"/>
            </w:tcBorders>
            <w:shd w:val="clear" w:color="000000" w:fill="FFFFFF"/>
            <w:hideMark/>
          </w:tcPr>
          <w:p w14:paraId="1E575898"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 xml:space="preserve">number of prevalent cases of chronic obstructive pulmonary disease </w:t>
            </w:r>
          </w:p>
        </w:tc>
        <w:tc>
          <w:tcPr>
            <w:tcW w:w="733" w:type="pct"/>
            <w:gridSpan w:val="2"/>
            <w:tcBorders>
              <w:top w:val="nil"/>
              <w:left w:val="nil"/>
              <w:bottom w:val="single" w:sz="4" w:space="0" w:color="auto"/>
              <w:right w:val="single" w:sz="4" w:space="0" w:color="auto"/>
            </w:tcBorders>
            <w:shd w:val="clear" w:color="000000" w:fill="FFFFFF"/>
            <w:hideMark/>
          </w:tcPr>
          <w:p w14:paraId="17EE89B3" w14:textId="10C63D72" w:rsidR="004C19E9" w:rsidRPr="004C19E9" w:rsidRDefault="004C19E9" w:rsidP="004C19E9">
            <w:pPr>
              <w:spacing w:after="0" w:line="240" w:lineRule="auto"/>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National Surveillance, Population-</w:t>
            </w:r>
            <w:r w:rsidR="002A2174" w:rsidRPr="004C19E9">
              <w:rPr>
                <w:rFonts w:ascii="Calibri" w:eastAsia="Times New Roman" w:hAnsi="Calibri" w:cs="Calibri"/>
                <w:color w:val="000000"/>
                <w:sz w:val="20"/>
                <w:szCs w:val="20"/>
                <w:lang w:val="en-US" w:eastAsia="en-US"/>
              </w:rPr>
              <w:t>based surveys</w:t>
            </w:r>
            <w:r w:rsidRPr="004C19E9">
              <w:rPr>
                <w:rFonts w:ascii="Calibri" w:eastAsia="Times New Roman" w:hAnsi="Calibri" w:cs="Calibri"/>
                <w:color w:val="000000"/>
                <w:sz w:val="20"/>
                <w:szCs w:val="20"/>
                <w:lang w:val="en-US" w:eastAsia="en-US"/>
              </w:rPr>
              <w:t xml:space="preserve"> </w:t>
            </w:r>
          </w:p>
        </w:tc>
        <w:tc>
          <w:tcPr>
            <w:tcW w:w="364" w:type="pct"/>
            <w:vMerge/>
            <w:tcBorders>
              <w:top w:val="nil"/>
              <w:left w:val="single" w:sz="4" w:space="0" w:color="auto"/>
              <w:bottom w:val="single" w:sz="4" w:space="0" w:color="auto"/>
              <w:right w:val="single" w:sz="4" w:space="0" w:color="auto"/>
            </w:tcBorders>
            <w:vAlign w:val="center"/>
            <w:hideMark/>
          </w:tcPr>
          <w:p w14:paraId="352560A2"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p>
        </w:tc>
        <w:tc>
          <w:tcPr>
            <w:tcW w:w="300" w:type="pct"/>
            <w:vMerge/>
            <w:tcBorders>
              <w:top w:val="nil"/>
              <w:left w:val="single" w:sz="4" w:space="0" w:color="auto"/>
              <w:bottom w:val="single" w:sz="4" w:space="0" w:color="auto"/>
              <w:right w:val="single" w:sz="4" w:space="0" w:color="auto"/>
            </w:tcBorders>
            <w:vAlign w:val="center"/>
            <w:hideMark/>
          </w:tcPr>
          <w:p w14:paraId="75F90110"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p>
        </w:tc>
        <w:tc>
          <w:tcPr>
            <w:tcW w:w="350" w:type="pct"/>
            <w:vMerge/>
            <w:tcBorders>
              <w:top w:val="nil"/>
              <w:left w:val="single" w:sz="4" w:space="0" w:color="auto"/>
              <w:bottom w:val="single" w:sz="4" w:space="0" w:color="auto"/>
              <w:right w:val="single" w:sz="4" w:space="0" w:color="auto"/>
            </w:tcBorders>
            <w:vAlign w:val="center"/>
            <w:hideMark/>
          </w:tcPr>
          <w:p w14:paraId="6CAAB753"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p>
        </w:tc>
        <w:tc>
          <w:tcPr>
            <w:tcW w:w="296" w:type="pct"/>
            <w:vMerge/>
            <w:tcBorders>
              <w:top w:val="nil"/>
              <w:left w:val="single" w:sz="4" w:space="0" w:color="auto"/>
              <w:bottom w:val="single" w:sz="4" w:space="0" w:color="auto"/>
              <w:right w:val="single" w:sz="4" w:space="0" w:color="auto"/>
            </w:tcBorders>
            <w:vAlign w:val="center"/>
            <w:hideMark/>
          </w:tcPr>
          <w:p w14:paraId="6C47D65F"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p>
        </w:tc>
      </w:tr>
      <w:tr w:rsidR="001166FA" w:rsidRPr="004C19E9" w14:paraId="1DA01D27" w14:textId="77777777" w:rsidTr="001166FA">
        <w:trPr>
          <w:trHeight w:val="675"/>
        </w:trPr>
        <w:tc>
          <w:tcPr>
            <w:tcW w:w="145"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35F294E2" w14:textId="77777777" w:rsidR="004C19E9" w:rsidRPr="004C19E9" w:rsidRDefault="004C19E9" w:rsidP="004C19E9">
            <w:pPr>
              <w:spacing w:after="0" w:line="240" w:lineRule="auto"/>
              <w:jc w:val="center"/>
              <w:rPr>
                <w:rFonts w:ascii="Calibri" w:eastAsia="Times New Roman" w:hAnsi="Calibri" w:cs="Calibri"/>
                <w:b/>
                <w:bCs/>
                <w:color w:val="000000"/>
                <w:sz w:val="20"/>
                <w:szCs w:val="20"/>
                <w:lang w:val="en-US" w:eastAsia="en-US"/>
              </w:rPr>
            </w:pPr>
            <w:r w:rsidRPr="004C19E9">
              <w:rPr>
                <w:rFonts w:ascii="Calibri" w:eastAsia="Times New Roman" w:hAnsi="Calibri" w:cs="Calibri"/>
                <w:b/>
                <w:bCs/>
                <w:color w:val="000000"/>
                <w:sz w:val="20"/>
                <w:szCs w:val="20"/>
                <w:lang w:val="en-US" w:eastAsia="en-US"/>
              </w:rPr>
              <w:t>30</w:t>
            </w:r>
          </w:p>
        </w:tc>
        <w:tc>
          <w:tcPr>
            <w:tcW w:w="1142" w:type="pct"/>
            <w:vMerge w:val="restart"/>
            <w:tcBorders>
              <w:top w:val="nil"/>
              <w:left w:val="single" w:sz="4" w:space="0" w:color="auto"/>
              <w:bottom w:val="single" w:sz="4" w:space="0" w:color="auto"/>
              <w:right w:val="single" w:sz="4" w:space="0" w:color="auto"/>
            </w:tcBorders>
            <w:shd w:val="clear" w:color="000000" w:fill="FFFFFF"/>
            <w:vAlign w:val="center"/>
            <w:hideMark/>
          </w:tcPr>
          <w:p w14:paraId="36467D5D"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 xml:space="preserve">EC treatment of end-stage renal disease – proxied using the ratio of deaths due to chronic kidney disease to the prevalence of end-stage renal disease*. </w:t>
            </w:r>
          </w:p>
        </w:tc>
        <w:tc>
          <w:tcPr>
            <w:tcW w:w="471" w:type="pct"/>
            <w:tcBorders>
              <w:top w:val="nil"/>
              <w:left w:val="nil"/>
              <w:bottom w:val="single" w:sz="4" w:space="0" w:color="auto"/>
              <w:right w:val="single" w:sz="4" w:space="0" w:color="auto"/>
            </w:tcBorders>
            <w:shd w:val="clear" w:color="000000" w:fill="FFFFFF"/>
            <w:noWrap/>
            <w:vAlign w:val="center"/>
            <w:hideMark/>
          </w:tcPr>
          <w:p w14:paraId="49443BC4" w14:textId="77777777" w:rsidR="004C19E9" w:rsidRPr="004C19E9" w:rsidRDefault="004C19E9" w:rsidP="004C19E9">
            <w:pPr>
              <w:spacing w:after="0" w:line="240" w:lineRule="auto"/>
              <w:jc w:val="center"/>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Numerator</w:t>
            </w:r>
          </w:p>
        </w:tc>
        <w:tc>
          <w:tcPr>
            <w:tcW w:w="1199" w:type="pct"/>
            <w:tcBorders>
              <w:top w:val="nil"/>
              <w:left w:val="nil"/>
              <w:bottom w:val="single" w:sz="4" w:space="0" w:color="auto"/>
              <w:right w:val="single" w:sz="4" w:space="0" w:color="auto"/>
            </w:tcBorders>
            <w:shd w:val="clear" w:color="000000" w:fill="FFFFFF"/>
            <w:hideMark/>
          </w:tcPr>
          <w:p w14:paraId="59B5A605"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number of deaths due to chronic kidney disease</w:t>
            </w:r>
          </w:p>
        </w:tc>
        <w:tc>
          <w:tcPr>
            <w:tcW w:w="733" w:type="pct"/>
            <w:gridSpan w:val="2"/>
            <w:tcBorders>
              <w:top w:val="nil"/>
              <w:left w:val="nil"/>
              <w:bottom w:val="single" w:sz="4" w:space="0" w:color="auto"/>
              <w:right w:val="single" w:sz="4" w:space="0" w:color="auto"/>
            </w:tcBorders>
            <w:shd w:val="clear" w:color="000000" w:fill="FFFFFF"/>
            <w:hideMark/>
          </w:tcPr>
          <w:p w14:paraId="28AEE329"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CRVS, Populated-based surveys</w:t>
            </w:r>
          </w:p>
        </w:tc>
        <w:tc>
          <w:tcPr>
            <w:tcW w:w="364" w:type="pct"/>
            <w:vMerge w:val="restart"/>
            <w:tcBorders>
              <w:top w:val="nil"/>
              <w:left w:val="single" w:sz="4" w:space="0" w:color="auto"/>
              <w:bottom w:val="single" w:sz="4" w:space="0" w:color="auto"/>
              <w:right w:val="single" w:sz="4" w:space="0" w:color="auto"/>
            </w:tcBorders>
            <w:shd w:val="clear" w:color="000000" w:fill="FFFFFF"/>
            <w:vAlign w:val="center"/>
            <w:hideMark/>
          </w:tcPr>
          <w:p w14:paraId="584D7176" w14:textId="77777777" w:rsidR="004C19E9" w:rsidRPr="004C19E9" w:rsidRDefault="004C19E9" w:rsidP="004C19E9">
            <w:pPr>
              <w:spacing w:after="0" w:line="240" w:lineRule="auto"/>
              <w:jc w:val="center"/>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105</w:t>
            </w:r>
          </w:p>
        </w:tc>
        <w:tc>
          <w:tcPr>
            <w:tcW w:w="300" w:type="pct"/>
            <w:vMerge w:val="restart"/>
            <w:tcBorders>
              <w:top w:val="nil"/>
              <w:left w:val="single" w:sz="4" w:space="0" w:color="auto"/>
              <w:bottom w:val="single" w:sz="4" w:space="0" w:color="auto"/>
              <w:right w:val="single" w:sz="4" w:space="0" w:color="auto"/>
            </w:tcBorders>
            <w:shd w:val="clear" w:color="000000" w:fill="FFFFFF"/>
            <w:vAlign w:val="center"/>
            <w:hideMark/>
          </w:tcPr>
          <w:p w14:paraId="2E06A657" w14:textId="77777777" w:rsidR="004C19E9" w:rsidRPr="004C19E9" w:rsidRDefault="004C19E9" w:rsidP="004C19E9">
            <w:pPr>
              <w:spacing w:after="0" w:line="240" w:lineRule="auto"/>
              <w:jc w:val="center"/>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Yes</w:t>
            </w:r>
          </w:p>
        </w:tc>
        <w:tc>
          <w:tcPr>
            <w:tcW w:w="350" w:type="pct"/>
            <w:vMerge w:val="restart"/>
            <w:tcBorders>
              <w:top w:val="nil"/>
              <w:left w:val="single" w:sz="4" w:space="0" w:color="auto"/>
              <w:bottom w:val="single" w:sz="4" w:space="0" w:color="auto"/>
              <w:right w:val="single" w:sz="4" w:space="0" w:color="auto"/>
            </w:tcBorders>
            <w:shd w:val="clear" w:color="000000" w:fill="FFFFFF"/>
            <w:vAlign w:val="center"/>
            <w:hideMark/>
          </w:tcPr>
          <w:p w14:paraId="502835B7" w14:textId="77777777" w:rsidR="004C19E9" w:rsidRPr="004C19E9" w:rsidRDefault="004C19E9" w:rsidP="004C19E9">
            <w:pPr>
              <w:spacing w:after="0" w:line="240" w:lineRule="auto"/>
              <w:jc w:val="center"/>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Yes</w:t>
            </w:r>
          </w:p>
        </w:tc>
        <w:tc>
          <w:tcPr>
            <w:tcW w:w="296" w:type="pct"/>
            <w:vMerge w:val="restart"/>
            <w:tcBorders>
              <w:top w:val="nil"/>
              <w:left w:val="single" w:sz="4" w:space="0" w:color="auto"/>
              <w:bottom w:val="single" w:sz="4" w:space="0" w:color="auto"/>
              <w:right w:val="single" w:sz="4" w:space="0" w:color="auto"/>
            </w:tcBorders>
            <w:shd w:val="clear" w:color="000000" w:fill="FFFFFF"/>
            <w:vAlign w:val="center"/>
            <w:hideMark/>
          </w:tcPr>
          <w:p w14:paraId="31A18CB7" w14:textId="77777777" w:rsidR="004C19E9" w:rsidRPr="004C19E9" w:rsidRDefault="004C19E9" w:rsidP="004C19E9">
            <w:pPr>
              <w:spacing w:after="0" w:line="240" w:lineRule="auto"/>
              <w:jc w:val="center"/>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3.4.1</w:t>
            </w:r>
          </w:p>
        </w:tc>
      </w:tr>
      <w:tr w:rsidR="001166FA" w:rsidRPr="004C19E9" w14:paraId="71BE371E" w14:textId="77777777" w:rsidTr="001166FA">
        <w:trPr>
          <w:trHeight w:val="840"/>
        </w:trPr>
        <w:tc>
          <w:tcPr>
            <w:tcW w:w="145" w:type="pct"/>
            <w:vMerge/>
            <w:tcBorders>
              <w:top w:val="nil"/>
              <w:left w:val="single" w:sz="4" w:space="0" w:color="auto"/>
              <w:bottom w:val="single" w:sz="4" w:space="0" w:color="auto"/>
              <w:right w:val="single" w:sz="4" w:space="0" w:color="auto"/>
            </w:tcBorders>
            <w:vAlign w:val="center"/>
            <w:hideMark/>
          </w:tcPr>
          <w:p w14:paraId="228B1E63" w14:textId="77777777" w:rsidR="004C19E9" w:rsidRPr="004C19E9" w:rsidRDefault="004C19E9" w:rsidP="004C19E9">
            <w:pPr>
              <w:spacing w:after="0" w:line="240" w:lineRule="auto"/>
              <w:rPr>
                <w:rFonts w:ascii="Calibri" w:eastAsia="Times New Roman" w:hAnsi="Calibri" w:cs="Calibri"/>
                <w:b/>
                <w:bCs/>
                <w:color w:val="000000"/>
                <w:sz w:val="20"/>
                <w:szCs w:val="20"/>
                <w:lang w:val="en-US" w:eastAsia="en-US"/>
              </w:rPr>
            </w:pPr>
          </w:p>
        </w:tc>
        <w:tc>
          <w:tcPr>
            <w:tcW w:w="1142" w:type="pct"/>
            <w:vMerge/>
            <w:tcBorders>
              <w:top w:val="nil"/>
              <w:left w:val="single" w:sz="4" w:space="0" w:color="auto"/>
              <w:bottom w:val="single" w:sz="4" w:space="0" w:color="auto"/>
              <w:right w:val="single" w:sz="4" w:space="0" w:color="auto"/>
            </w:tcBorders>
            <w:vAlign w:val="center"/>
            <w:hideMark/>
          </w:tcPr>
          <w:p w14:paraId="4E197ECD"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p>
        </w:tc>
        <w:tc>
          <w:tcPr>
            <w:tcW w:w="471" w:type="pct"/>
            <w:tcBorders>
              <w:top w:val="nil"/>
              <w:left w:val="nil"/>
              <w:bottom w:val="single" w:sz="4" w:space="0" w:color="auto"/>
              <w:right w:val="single" w:sz="4" w:space="0" w:color="auto"/>
            </w:tcBorders>
            <w:shd w:val="clear" w:color="000000" w:fill="FFFFFF"/>
            <w:noWrap/>
            <w:vAlign w:val="center"/>
            <w:hideMark/>
          </w:tcPr>
          <w:p w14:paraId="43225936" w14:textId="77777777" w:rsidR="004C19E9" w:rsidRPr="004C19E9" w:rsidRDefault="004C19E9" w:rsidP="004C19E9">
            <w:pPr>
              <w:spacing w:after="0" w:line="240" w:lineRule="auto"/>
              <w:jc w:val="center"/>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Denominator</w:t>
            </w:r>
          </w:p>
        </w:tc>
        <w:tc>
          <w:tcPr>
            <w:tcW w:w="1199" w:type="pct"/>
            <w:tcBorders>
              <w:top w:val="nil"/>
              <w:left w:val="nil"/>
              <w:bottom w:val="single" w:sz="4" w:space="0" w:color="auto"/>
              <w:right w:val="single" w:sz="4" w:space="0" w:color="auto"/>
            </w:tcBorders>
            <w:shd w:val="clear" w:color="000000" w:fill="FFFFFF"/>
            <w:hideMark/>
          </w:tcPr>
          <w:p w14:paraId="17C5452F"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number of prevalent cases of end-stage renal disease</w:t>
            </w:r>
          </w:p>
        </w:tc>
        <w:tc>
          <w:tcPr>
            <w:tcW w:w="733" w:type="pct"/>
            <w:gridSpan w:val="2"/>
            <w:tcBorders>
              <w:top w:val="nil"/>
              <w:left w:val="nil"/>
              <w:bottom w:val="single" w:sz="4" w:space="0" w:color="auto"/>
              <w:right w:val="single" w:sz="4" w:space="0" w:color="auto"/>
            </w:tcBorders>
            <w:shd w:val="clear" w:color="000000" w:fill="FFFFFF"/>
            <w:hideMark/>
          </w:tcPr>
          <w:p w14:paraId="05FBEA61" w14:textId="6ABB855C" w:rsidR="004C19E9" w:rsidRPr="004C19E9" w:rsidRDefault="004C19E9" w:rsidP="004C19E9">
            <w:pPr>
              <w:spacing w:after="0" w:line="240" w:lineRule="auto"/>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National Surveillance, national registries/ Population-</w:t>
            </w:r>
            <w:r w:rsidR="002A2174" w:rsidRPr="004C19E9">
              <w:rPr>
                <w:rFonts w:ascii="Calibri" w:eastAsia="Times New Roman" w:hAnsi="Calibri" w:cs="Calibri"/>
                <w:color w:val="000000"/>
                <w:sz w:val="20"/>
                <w:szCs w:val="20"/>
                <w:lang w:val="en-US" w:eastAsia="en-US"/>
              </w:rPr>
              <w:t>based surveys</w:t>
            </w:r>
            <w:r w:rsidRPr="004C19E9">
              <w:rPr>
                <w:rFonts w:ascii="Calibri" w:eastAsia="Times New Roman" w:hAnsi="Calibri" w:cs="Calibri"/>
                <w:color w:val="000000"/>
                <w:sz w:val="20"/>
                <w:szCs w:val="20"/>
                <w:lang w:val="en-US" w:eastAsia="en-US"/>
              </w:rPr>
              <w:t xml:space="preserve"> </w:t>
            </w:r>
          </w:p>
        </w:tc>
        <w:tc>
          <w:tcPr>
            <w:tcW w:w="364" w:type="pct"/>
            <w:vMerge/>
            <w:tcBorders>
              <w:top w:val="nil"/>
              <w:left w:val="single" w:sz="4" w:space="0" w:color="auto"/>
              <w:bottom w:val="single" w:sz="4" w:space="0" w:color="auto"/>
              <w:right w:val="single" w:sz="4" w:space="0" w:color="auto"/>
            </w:tcBorders>
            <w:vAlign w:val="center"/>
            <w:hideMark/>
          </w:tcPr>
          <w:p w14:paraId="2C5B3799"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p>
        </w:tc>
        <w:tc>
          <w:tcPr>
            <w:tcW w:w="300" w:type="pct"/>
            <w:vMerge/>
            <w:tcBorders>
              <w:top w:val="nil"/>
              <w:left w:val="single" w:sz="4" w:space="0" w:color="auto"/>
              <w:bottom w:val="single" w:sz="4" w:space="0" w:color="auto"/>
              <w:right w:val="single" w:sz="4" w:space="0" w:color="auto"/>
            </w:tcBorders>
            <w:vAlign w:val="center"/>
            <w:hideMark/>
          </w:tcPr>
          <w:p w14:paraId="4270B070"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p>
        </w:tc>
        <w:tc>
          <w:tcPr>
            <w:tcW w:w="350" w:type="pct"/>
            <w:vMerge/>
            <w:tcBorders>
              <w:top w:val="nil"/>
              <w:left w:val="single" w:sz="4" w:space="0" w:color="auto"/>
              <w:bottom w:val="single" w:sz="4" w:space="0" w:color="auto"/>
              <w:right w:val="single" w:sz="4" w:space="0" w:color="auto"/>
            </w:tcBorders>
            <w:vAlign w:val="center"/>
            <w:hideMark/>
          </w:tcPr>
          <w:p w14:paraId="782D99F1"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p>
        </w:tc>
        <w:tc>
          <w:tcPr>
            <w:tcW w:w="296" w:type="pct"/>
            <w:vMerge/>
            <w:tcBorders>
              <w:top w:val="nil"/>
              <w:left w:val="single" w:sz="4" w:space="0" w:color="auto"/>
              <w:bottom w:val="single" w:sz="4" w:space="0" w:color="auto"/>
              <w:right w:val="single" w:sz="4" w:space="0" w:color="auto"/>
            </w:tcBorders>
            <w:vAlign w:val="center"/>
            <w:hideMark/>
          </w:tcPr>
          <w:p w14:paraId="0877A9EA"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p>
        </w:tc>
      </w:tr>
      <w:tr w:rsidR="001166FA" w:rsidRPr="004C19E9" w14:paraId="718A8CB8" w14:textId="77777777" w:rsidTr="001166FA">
        <w:trPr>
          <w:trHeight w:val="645"/>
        </w:trPr>
        <w:tc>
          <w:tcPr>
            <w:tcW w:w="145"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2955742F" w14:textId="77777777" w:rsidR="004C19E9" w:rsidRPr="004C19E9" w:rsidRDefault="004C19E9" w:rsidP="004C19E9">
            <w:pPr>
              <w:spacing w:after="0" w:line="240" w:lineRule="auto"/>
              <w:jc w:val="center"/>
              <w:rPr>
                <w:rFonts w:ascii="Calibri" w:eastAsia="Times New Roman" w:hAnsi="Calibri" w:cs="Calibri"/>
                <w:b/>
                <w:bCs/>
                <w:color w:val="000000"/>
                <w:sz w:val="20"/>
                <w:szCs w:val="20"/>
                <w:lang w:val="en-US" w:eastAsia="en-US"/>
              </w:rPr>
            </w:pPr>
            <w:r w:rsidRPr="004C19E9">
              <w:rPr>
                <w:rFonts w:ascii="Calibri" w:eastAsia="Times New Roman" w:hAnsi="Calibri" w:cs="Calibri"/>
                <w:b/>
                <w:bCs/>
                <w:color w:val="000000"/>
                <w:sz w:val="20"/>
                <w:szCs w:val="20"/>
                <w:lang w:val="en-US" w:eastAsia="en-US"/>
              </w:rPr>
              <w:t>31</w:t>
            </w:r>
          </w:p>
        </w:tc>
        <w:tc>
          <w:tcPr>
            <w:tcW w:w="1142" w:type="pct"/>
            <w:vMerge w:val="restart"/>
            <w:tcBorders>
              <w:top w:val="nil"/>
              <w:left w:val="single" w:sz="4" w:space="0" w:color="auto"/>
              <w:bottom w:val="single" w:sz="4" w:space="0" w:color="auto"/>
              <w:right w:val="single" w:sz="4" w:space="0" w:color="auto"/>
            </w:tcBorders>
            <w:shd w:val="clear" w:color="000000" w:fill="FFFFFF"/>
            <w:vAlign w:val="center"/>
            <w:hideMark/>
          </w:tcPr>
          <w:p w14:paraId="4E56F355"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EC cataract surgery – proxied using the proportion of individuals with cataracts who have received cataract surgery.</w:t>
            </w:r>
          </w:p>
        </w:tc>
        <w:tc>
          <w:tcPr>
            <w:tcW w:w="471" w:type="pct"/>
            <w:tcBorders>
              <w:top w:val="nil"/>
              <w:left w:val="nil"/>
              <w:bottom w:val="single" w:sz="4" w:space="0" w:color="auto"/>
              <w:right w:val="single" w:sz="4" w:space="0" w:color="auto"/>
            </w:tcBorders>
            <w:shd w:val="clear" w:color="000000" w:fill="FFFFFF"/>
            <w:noWrap/>
            <w:vAlign w:val="center"/>
            <w:hideMark/>
          </w:tcPr>
          <w:p w14:paraId="78C1EFEC" w14:textId="77777777" w:rsidR="004C19E9" w:rsidRPr="004C19E9" w:rsidRDefault="004C19E9" w:rsidP="004C19E9">
            <w:pPr>
              <w:spacing w:after="0" w:line="240" w:lineRule="auto"/>
              <w:jc w:val="center"/>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Numerator</w:t>
            </w:r>
          </w:p>
        </w:tc>
        <w:tc>
          <w:tcPr>
            <w:tcW w:w="1199" w:type="pct"/>
            <w:tcBorders>
              <w:top w:val="nil"/>
              <w:left w:val="nil"/>
              <w:bottom w:val="single" w:sz="4" w:space="0" w:color="auto"/>
              <w:right w:val="single" w:sz="4" w:space="0" w:color="auto"/>
            </w:tcBorders>
            <w:shd w:val="clear" w:color="000000" w:fill="FFFFFF"/>
            <w:hideMark/>
          </w:tcPr>
          <w:p w14:paraId="431E2E17"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number of individuals with cataracts who have received cataract surgery</w:t>
            </w:r>
          </w:p>
        </w:tc>
        <w:tc>
          <w:tcPr>
            <w:tcW w:w="733" w:type="pct"/>
            <w:gridSpan w:val="2"/>
            <w:tcBorders>
              <w:top w:val="nil"/>
              <w:left w:val="nil"/>
              <w:bottom w:val="single" w:sz="4" w:space="0" w:color="auto"/>
              <w:right w:val="single" w:sz="4" w:space="0" w:color="auto"/>
            </w:tcBorders>
            <w:shd w:val="clear" w:color="000000" w:fill="FFFFFF"/>
            <w:hideMark/>
          </w:tcPr>
          <w:p w14:paraId="77DAFDD8" w14:textId="648D1B8A" w:rsidR="004C19E9" w:rsidRPr="004C19E9" w:rsidRDefault="004C19E9" w:rsidP="004C19E9">
            <w:pPr>
              <w:spacing w:after="0" w:line="240" w:lineRule="auto"/>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National Surveillance, Population-</w:t>
            </w:r>
            <w:r w:rsidR="002A2174" w:rsidRPr="004C19E9">
              <w:rPr>
                <w:rFonts w:ascii="Calibri" w:eastAsia="Times New Roman" w:hAnsi="Calibri" w:cs="Calibri"/>
                <w:color w:val="000000"/>
                <w:sz w:val="20"/>
                <w:szCs w:val="20"/>
                <w:lang w:val="en-US" w:eastAsia="en-US"/>
              </w:rPr>
              <w:t>based surveys</w:t>
            </w:r>
            <w:r w:rsidRPr="004C19E9">
              <w:rPr>
                <w:rFonts w:ascii="Calibri" w:eastAsia="Times New Roman" w:hAnsi="Calibri" w:cs="Calibri"/>
                <w:color w:val="000000"/>
                <w:sz w:val="20"/>
                <w:szCs w:val="20"/>
                <w:lang w:val="en-US" w:eastAsia="en-US"/>
              </w:rPr>
              <w:t xml:space="preserve"> </w:t>
            </w:r>
          </w:p>
        </w:tc>
        <w:tc>
          <w:tcPr>
            <w:tcW w:w="364" w:type="pct"/>
            <w:vMerge w:val="restart"/>
            <w:tcBorders>
              <w:top w:val="nil"/>
              <w:left w:val="single" w:sz="4" w:space="0" w:color="auto"/>
              <w:bottom w:val="single" w:sz="4" w:space="0" w:color="auto"/>
              <w:right w:val="single" w:sz="4" w:space="0" w:color="auto"/>
            </w:tcBorders>
            <w:shd w:val="clear" w:color="000000" w:fill="FFFFFF"/>
            <w:vAlign w:val="center"/>
            <w:hideMark/>
          </w:tcPr>
          <w:p w14:paraId="27495157" w14:textId="77777777" w:rsidR="004C19E9" w:rsidRPr="004C19E9" w:rsidRDefault="004C19E9" w:rsidP="004C19E9">
            <w:pPr>
              <w:spacing w:after="0" w:line="240" w:lineRule="auto"/>
              <w:jc w:val="center"/>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27</w:t>
            </w:r>
          </w:p>
        </w:tc>
        <w:tc>
          <w:tcPr>
            <w:tcW w:w="300" w:type="pct"/>
            <w:vMerge w:val="restart"/>
            <w:tcBorders>
              <w:top w:val="nil"/>
              <w:left w:val="single" w:sz="4" w:space="0" w:color="auto"/>
              <w:bottom w:val="single" w:sz="4" w:space="0" w:color="auto"/>
              <w:right w:val="single" w:sz="4" w:space="0" w:color="auto"/>
            </w:tcBorders>
            <w:shd w:val="clear" w:color="000000" w:fill="FFFFFF"/>
            <w:vAlign w:val="center"/>
            <w:hideMark/>
          </w:tcPr>
          <w:p w14:paraId="42C23279" w14:textId="77777777" w:rsidR="004C19E9" w:rsidRPr="004C19E9" w:rsidRDefault="004C19E9" w:rsidP="004C19E9">
            <w:pPr>
              <w:spacing w:after="0" w:line="240" w:lineRule="auto"/>
              <w:jc w:val="center"/>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No</w:t>
            </w:r>
          </w:p>
        </w:tc>
        <w:tc>
          <w:tcPr>
            <w:tcW w:w="350" w:type="pct"/>
            <w:vMerge w:val="restart"/>
            <w:tcBorders>
              <w:top w:val="nil"/>
              <w:left w:val="single" w:sz="4" w:space="0" w:color="auto"/>
              <w:bottom w:val="single" w:sz="4" w:space="0" w:color="auto"/>
              <w:right w:val="single" w:sz="4" w:space="0" w:color="auto"/>
            </w:tcBorders>
            <w:shd w:val="clear" w:color="000000" w:fill="FFFFFF"/>
            <w:vAlign w:val="center"/>
            <w:hideMark/>
          </w:tcPr>
          <w:p w14:paraId="2F172AD1" w14:textId="77777777" w:rsidR="004C19E9" w:rsidRPr="004C19E9" w:rsidRDefault="004C19E9" w:rsidP="004C19E9">
            <w:pPr>
              <w:spacing w:after="0" w:line="240" w:lineRule="auto"/>
              <w:jc w:val="center"/>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No</w:t>
            </w:r>
          </w:p>
        </w:tc>
        <w:tc>
          <w:tcPr>
            <w:tcW w:w="296"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26D26C1E" w14:textId="77777777" w:rsidR="004C19E9" w:rsidRPr="004C19E9" w:rsidRDefault="004C19E9" w:rsidP="004C19E9">
            <w:pPr>
              <w:spacing w:after="0" w:line="240" w:lineRule="auto"/>
              <w:jc w:val="center"/>
              <w:rPr>
                <w:rFonts w:ascii="Calibri" w:eastAsia="Times New Roman" w:hAnsi="Calibri" w:cs="Calibri"/>
                <w:color w:val="C00000"/>
                <w:sz w:val="20"/>
                <w:szCs w:val="20"/>
                <w:lang w:val="en-US" w:eastAsia="en-US"/>
              </w:rPr>
            </w:pPr>
            <w:r w:rsidRPr="004C19E9">
              <w:rPr>
                <w:rFonts w:ascii="Calibri" w:eastAsia="Times New Roman" w:hAnsi="Calibri" w:cs="Calibri"/>
                <w:color w:val="C00000"/>
                <w:sz w:val="20"/>
                <w:szCs w:val="20"/>
                <w:lang w:val="en-US" w:eastAsia="en-US"/>
              </w:rPr>
              <w:t> </w:t>
            </w:r>
          </w:p>
        </w:tc>
      </w:tr>
      <w:tr w:rsidR="001166FA" w:rsidRPr="004C19E9" w14:paraId="6C78F540" w14:textId="77777777" w:rsidTr="001166FA">
        <w:trPr>
          <w:trHeight w:val="900"/>
        </w:trPr>
        <w:tc>
          <w:tcPr>
            <w:tcW w:w="145" w:type="pct"/>
            <w:vMerge/>
            <w:tcBorders>
              <w:top w:val="nil"/>
              <w:left w:val="single" w:sz="4" w:space="0" w:color="auto"/>
              <w:bottom w:val="single" w:sz="4" w:space="0" w:color="auto"/>
              <w:right w:val="single" w:sz="4" w:space="0" w:color="auto"/>
            </w:tcBorders>
            <w:vAlign w:val="center"/>
            <w:hideMark/>
          </w:tcPr>
          <w:p w14:paraId="6B45562B" w14:textId="77777777" w:rsidR="004C19E9" w:rsidRPr="004C19E9" w:rsidRDefault="004C19E9" w:rsidP="004C19E9">
            <w:pPr>
              <w:spacing w:after="0" w:line="240" w:lineRule="auto"/>
              <w:rPr>
                <w:rFonts w:ascii="Calibri" w:eastAsia="Times New Roman" w:hAnsi="Calibri" w:cs="Calibri"/>
                <w:b/>
                <w:bCs/>
                <w:color w:val="000000"/>
                <w:sz w:val="20"/>
                <w:szCs w:val="20"/>
                <w:lang w:val="en-US" w:eastAsia="en-US"/>
              </w:rPr>
            </w:pPr>
          </w:p>
        </w:tc>
        <w:tc>
          <w:tcPr>
            <w:tcW w:w="1142" w:type="pct"/>
            <w:vMerge/>
            <w:tcBorders>
              <w:top w:val="nil"/>
              <w:left w:val="single" w:sz="4" w:space="0" w:color="auto"/>
              <w:bottom w:val="single" w:sz="4" w:space="0" w:color="auto"/>
              <w:right w:val="single" w:sz="4" w:space="0" w:color="auto"/>
            </w:tcBorders>
            <w:vAlign w:val="center"/>
            <w:hideMark/>
          </w:tcPr>
          <w:p w14:paraId="5E079C0A"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p>
        </w:tc>
        <w:tc>
          <w:tcPr>
            <w:tcW w:w="471" w:type="pct"/>
            <w:tcBorders>
              <w:top w:val="nil"/>
              <w:left w:val="nil"/>
              <w:bottom w:val="single" w:sz="4" w:space="0" w:color="auto"/>
              <w:right w:val="single" w:sz="4" w:space="0" w:color="auto"/>
            </w:tcBorders>
            <w:shd w:val="clear" w:color="000000" w:fill="FFFFFF"/>
            <w:noWrap/>
            <w:vAlign w:val="center"/>
            <w:hideMark/>
          </w:tcPr>
          <w:p w14:paraId="64FA258A" w14:textId="77777777" w:rsidR="004C19E9" w:rsidRPr="004C19E9" w:rsidRDefault="004C19E9" w:rsidP="004C19E9">
            <w:pPr>
              <w:spacing w:after="0" w:line="240" w:lineRule="auto"/>
              <w:jc w:val="center"/>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Denominator</w:t>
            </w:r>
          </w:p>
        </w:tc>
        <w:tc>
          <w:tcPr>
            <w:tcW w:w="1199" w:type="pct"/>
            <w:tcBorders>
              <w:top w:val="nil"/>
              <w:left w:val="nil"/>
              <w:bottom w:val="single" w:sz="4" w:space="0" w:color="auto"/>
              <w:right w:val="single" w:sz="4" w:space="0" w:color="auto"/>
            </w:tcBorders>
            <w:shd w:val="clear" w:color="000000" w:fill="FFFFFF"/>
            <w:hideMark/>
          </w:tcPr>
          <w:p w14:paraId="6B7F0D46"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number of individuals with severe visual impairment or blindness from cataracts + the number of individuals who have received cataract surgery</w:t>
            </w:r>
          </w:p>
        </w:tc>
        <w:tc>
          <w:tcPr>
            <w:tcW w:w="733" w:type="pct"/>
            <w:gridSpan w:val="2"/>
            <w:tcBorders>
              <w:top w:val="nil"/>
              <w:left w:val="nil"/>
              <w:bottom w:val="single" w:sz="4" w:space="0" w:color="auto"/>
              <w:right w:val="single" w:sz="4" w:space="0" w:color="auto"/>
            </w:tcBorders>
            <w:shd w:val="clear" w:color="000000" w:fill="FFFFFF"/>
            <w:hideMark/>
          </w:tcPr>
          <w:p w14:paraId="042D3716" w14:textId="3922B217" w:rsidR="004C19E9" w:rsidRPr="004C19E9" w:rsidRDefault="004C19E9" w:rsidP="004C19E9">
            <w:pPr>
              <w:spacing w:after="0" w:line="240" w:lineRule="auto"/>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National Surveillance, Population-</w:t>
            </w:r>
            <w:r w:rsidR="002A2174" w:rsidRPr="004C19E9">
              <w:rPr>
                <w:rFonts w:ascii="Calibri" w:eastAsia="Times New Roman" w:hAnsi="Calibri" w:cs="Calibri"/>
                <w:color w:val="000000"/>
                <w:sz w:val="20"/>
                <w:szCs w:val="20"/>
                <w:lang w:val="en-US" w:eastAsia="en-US"/>
              </w:rPr>
              <w:t>based surveys</w:t>
            </w:r>
            <w:r w:rsidRPr="004C19E9">
              <w:rPr>
                <w:rFonts w:ascii="Calibri" w:eastAsia="Times New Roman" w:hAnsi="Calibri" w:cs="Calibri"/>
                <w:color w:val="000000"/>
                <w:sz w:val="20"/>
                <w:szCs w:val="20"/>
                <w:lang w:val="en-US" w:eastAsia="en-US"/>
              </w:rPr>
              <w:t xml:space="preserve"> </w:t>
            </w:r>
          </w:p>
        </w:tc>
        <w:tc>
          <w:tcPr>
            <w:tcW w:w="364" w:type="pct"/>
            <w:vMerge/>
            <w:tcBorders>
              <w:top w:val="nil"/>
              <w:left w:val="single" w:sz="4" w:space="0" w:color="auto"/>
              <w:bottom w:val="single" w:sz="4" w:space="0" w:color="auto"/>
              <w:right w:val="single" w:sz="4" w:space="0" w:color="auto"/>
            </w:tcBorders>
            <w:vAlign w:val="center"/>
            <w:hideMark/>
          </w:tcPr>
          <w:p w14:paraId="55A6F5D2"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p>
        </w:tc>
        <w:tc>
          <w:tcPr>
            <w:tcW w:w="300" w:type="pct"/>
            <w:vMerge/>
            <w:tcBorders>
              <w:top w:val="nil"/>
              <w:left w:val="single" w:sz="4" w:space="0" w:color="auto"/>
              <w:bottom w:val="single" w:sz="4" w:space="0" w:color="auto"/>
              <w:right w:val="single" w:sz="4" w:space="0" w:color="auto"/>
            </w:tcBorders>
            <w:vAlign w:val="center"/>
            <w:hideMark/>
          </w:tcPr>
          <w:p w14:paraId="0131674A"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p>
        </w:tc>
        <w:tc>
          <w:tcPr>
            <w:tcW w:w="350" w:type="pct"/>
            <w:vMerge/>
            <w:tcBorders>
              <w:top w:val="nil"/>
              <w:left w:val="single" w:sz="4" w:space="0" w:color="auto"/>
              <w:bottom w:val="single" w:sz="4" w:space="0" w:color="auto"/>
              <w:right w:val="single" w:sz="4" w:space="0" w:color="auto"/>
            </w:tcBorders>
            <w:vAlign w:val="center"/>
            <w:hideMark/>
          </w:tcPr>
          <w:p w14:paraId="5F5427DF"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p>
        </w:tc>
        <w:tc>
          <w:tcPr>
            <w:tcW w:w="296" w:type="pct"/>
            <w:vMerge/>
            <w:tcBorders>
              <w:top w:val="nil"/>
              <w:left w:val="single" w:sz="4" w:space="0" w:color="auto"/>
              <w:bottom w:val="single" w:sz="4" w:space="0" w:color="auto"/>
              <w:right w:val="single" w:sz="4" w:space="0" w:color="auto"/>
            </w:tcBorders>
            <w:vAlign w:val="center"/>
            <w:hideMark/>
          </w:tcPr>
          <w:p w14:paraId="3A8A7360" w14:textId="77777777" w:rsidR="004C19E9" w:rsidRPr="004C19E9" w:rsidRDefault="004C19E9" w:rsidP="004C19E9">
            <w:pPr>
              <w:spacing w:after="0" w:line="240" w:lineRule="auto"/>
              <w:rPr>
                <w:rFonts w:ascii="Calibri" w:eastAsia="Times New Roman" w:hAnsi="Calibri" w:cs="Calibri"/>
                <w:color w:val="C00000"/>
                <w:sz w:val="20"/>
                <w:szCs w:val="20"/>
                <w:lang w:val="en-US" w:eastAsia="en-US"/>
              </w:rPr>
            </w:pPr>
          </w:p>
        </w:tc>
      </w:tr>
      <w:tr w:rsidR="001166FA" w:rsidRPr="004C19E9" w14:paraId="529EDABC" w14:textId="77777777" w:rsidTr="001166FA">
        <w:trPr>
          <w:trHeight w:val="705"/>
        </w:trPr>
        <w:tc>
          <w:tcPr>
            <w:tcW w:w="145" w:type="pct"/>
            <w:vMerge w:val="restart"/>
            <w:tcBorders>
              <w:top w:val="nil"/>
              <w:left w:val="single" w:sz="4" w:space="0" w:color="auto"/>
              <w:bottom w:val="single" w:sz="4" w:space="0" w:color="auto"/>
              <w:right w:val="single" w:sz="4" w:space="0" w:color="auto"/>
            </w:tcBorders>
            <w:shd w:val="clear" w:color="000000" w:fill="F6DEE0"/>
            <w:noWrap/>
            <w:vAlign w:val="center"/>
            <w:hideMark/>
          </w:tcPr>
          <w:p w14:paraId="77658E1C" w14:textId="77777777" w:rsidR="004C19E9" w:rsidRPr="004C19E9" w:rsidRDefault="004C19E9" w:rsidP="004C19E9">
            <w:pPr>
              <w:spacing w:after="0" w:line="240" w:lineRule="auto"/>
              <w:jc w:val="center"/>
              <w:rPr>
                <w:rFonts w:ascii="Calibri" w:eastAsia="Times New Roman" w:hAnsi="Calibri" w:cs="Calibri"/>
                <w:b/>
                <w:bCs/>
                <w:color w:val="000000"/>
                <w:sz w:val="20"/>
                <w:szCs w:val="20"/>
                <w:lang w:val="en-US" w:eastAsia="en-US"/>
              </w:rPr>
            </w:pPr>
            <w:r w:rsidRPr="004C19E9">
              <w:rPr>
                <w:rFonts w:ascii="Calibri" w:eastAsia="Times New Roman" w:hAnsi="Calibri" w:cs="Calibri"/>
                <w:b/>
                <w:bCs/>
                <w:color w:val="000000"/>
                <w:sz w:val="20"/>
                <w:szCs w:val="20"/>
                <w:lang w:val="en-US" w:eastAsia="en-US"/>
              </w:rPr>
              <w:t>32</w:t>
            </w:r>
          </w:p>
        </w:tc>
        <w:tc>
          <w:tcPr>
            <w:tcW w:w="1142" w:type="pct"/>
            <w:vMerge w:val="restart"/>
            <w:tcBorders>
              <w:top w:val="nil"/>
              <w:left w:val="single" w:sz="4" w:space="0" w:color="auto"/>
              <w:bottom w:val="single" w:sz="4" w:space="0" w:color="auto"/>
              <w:right w:val="single" w:sz="4" w:space="0" w:color="auto"/>
            </w:tcBorders>
            <w:shd w:val="clear" w:color="000000" w:fill="F6DEE0"/>
            <w:vAlign w:val="center"/>
            <w:hideMark/>
          </w:tcPr>
          <w:p w14:paraId="0E09BDBD"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EC edentulism (any individual with zero remaining permanent teeth) – proxied using the prevalence of edentulism.</w:t>
            </w:r>
          </w:p>
        </w:tc>
        <w:tc>
          <w:tcPr>
            <w:tcW w:w="471" w:type="pct"/>
            <w:tcBorders>
              <w:top w:val="nil"/>
              <w:left w:val="nil"/>
              <w:bottom w:val="single" w:sz="4" w:space="0" w:color="auto"/>
              <w:right w:val="single" w:sz="4" w:space="0" w:color="auto"/>
            </w:tcBorders>
            <w:shd w:val="clear" w:color="000000" w:fill="F6DEE0"/>
            <w:noWrap/>
            <w:vAlign w:val="center"/>
            <w:hideMark/>
          </w:tcPr>
          <w:p w14:paraId="26C0AEFD" w14:textId="77777777" w:rsidR="004C19E9" w:rsidRPr="004C19E9" w:rsidRDefault="004C19E9" w:rsidP="004C19E9">
            <w:pPr>
              <w:spacing w:after="0" w:line="240" w:lineRule="auto"/>
              <w:jc w:val="center"/>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Numerator</w:t>
            </w:r>
          </w:p>
        </w:tc>
        <w:tc>
          <w:tcPr>
            <w:tcW w:w="1199" w:type="pct"/>
            <w:tcBorders>
              <w:top w:val="nil"/>
              <w:left w:val="nil"/>
              <w:bottom w:val="single" w:sz="4" w:space="0" w:color="auto"/>
              <w:right w:val="single" w:sz="4" w:space="0" w:color="auto"/>
            </w:tcBorders>
            <w:shd w:val="clear" w:color="000000" w:fill="F6DEE0"/>
            <w:hideMark/>
          </w:tcPr>
          <w:p w14:paraId="4905E3A5"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number of individuals aged ≥65 years with edentulism</w:t>
            </w:r>
          </w:p>
        </w:tc>
        <w:tc>
          <w:tcPr>
            <w:tcW w:w="733" w:type="pct"/>
            <w:gridSpan w:val="2"/>
            <w:tcBorders>
              <w:top w:val="nil"/>
              <w:left w:val="nil"/>
              <w:bottom w:val="single" w:sz="4" w:space="0" w:color="auto"/>
              <w:right w:val="single" w:sz="4" w:space="0" w:color="auto"/>
            </w:tcBorders>
            <w:shd w:val="clear" w:color="000000" w:fill="F6DEE0"/>
            <w:hideMark/>
          </w:tcPr>
          <w:p w14:paraId="01FB1294" w14:textId="5C338E58" w:rsidR="004C19E9" w:rsidRPr="004C19E9" w:rsidRDefault="004C19E9" w:rsidP="004C19E9">
            <w:pPr>
              <w:spacing w:after="0" w:line="240" w:lineRule="auto"/>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National Surveillance, Population-</w:t>
            </w:r>
            <w:r w:rsidR="002A2174" w:rsidRPr="004C19E9">
              <w:rPr>
                <w:rFonts w:ascii="Calibri" w:eastAsia="Times New Roman" w:hAnsi="Calibri" w:cs="Calibri"/>
                <w:color w:val="000000"/>
                <w:sz w:val="20"/>
                <w:szCs w:val="20"/>
                <w:lang w:val="en-US" w:eastAsia="en-US"/>
              </w:rPr>
              <w:t>based surveys</w:t>
            </w:r>
            <w:r w:rsidRPr="004C19E9">
              <w:rPr>
                <w:rFonts w:ascii="Calibri" w:eastAsia="Times New Roman" w:hAnsi="Calibri" w:cs="Calibri"/>
                <w:color w:val="000000"/>
                <w:sz w:val="20"/>
                <w:szCs w:val="20"/>
                <w:lang w:val="en-US" w:eastAsia="en-US"/>
              </w:rPr>
              <w:t xml:space="preserve"> </w:t>
            </w:r>
          </w:p>
        </w:tc>
        <w:tc>
          <w:tcPr>
            <w:tcW w:w="364" w:type="pct"/>
            <w:vMerge w:val="restart"/>
            <w:tcBorders>
              <w:top w:val="nil"/>
              <w:left w:val="single" w:sz="4" w:space="0" w:color="auto"/>
              <w:bottom w:val="single" w:sz="4" w:space="0" w:color="auto"/>
              <w:right w:val="single" w:sz="4" w:space="0" w:color="auto"/>
            </w:tcBorders>
            <w:shd w:val="clear" w:color="000000" w:fill="F6DEE0"/>
            <w:noWrap/>
            <w:vAlign w:val="center"/>
            <w:hideMark/>
          </w:tcPr>
          <w:p w14:paraId="18045EE2" w14:textId="77777777" w:rsidR="004C19E9" w:rsidRPr="004C19E9" w:rsidRDefault="004C19E9" w:rsidP="004C19E9">
            <w:pPr>
              <w:spacing w:after="0" w:line="240" w:lineRule="auto"/>
              <w:jc w:val="center"/>
              <w:rPr>
                <w:rFonts w:ascii="Calibri" w:eastAsia="Times New Roman" w:hAnsi="Calibri" w:cs="Calibri"/>
                <w:sz w:val="20"/>
                <w:szCs w:val="20"/>
                <w:lang w:val="en-US" w:eastAsia="en-US"/>
              </w:rPr>
            </w:pPr>
            <w:r w:rsidRPr="004C19E9">
              <w:rPr>
                <w:rFonts w:ascii="Calibri" w:eastAsia="Times New Roman" w:hAnsi="Calibri" w:cs="Calibri"/>
                <w:sz w:val="20"/>
                <w:szCs w:val="20"/>
                <w:lang w:val="en-US" w:eastAsia="en-US"/>
              </w:rPr>
              <w:t>22</w:t>
            </w:r>
          </w:p>
        </w:tc>
        <w:tc>
          <w:tcPr>
            <w:tcW w:w="300" w:type="pct"/>
            <w:vMerge w:val="restart"/>
            <w:tcBorders>
              <w:top w:val="nil"/>
              <w:left w:val="single" w:sz="4" w:space="0" w:color="auto"/>
              <w:bottom w:val="single" w:sz="4" w:space="0" w:color="auto"/>
              <w:right w:val="single" w:sz="4" w:space="0" w:color="auto"/>
            </w:tcBorders>
            <w:shd w:val="clear" w:color="000000" w:fill="F6DEE0"/>
            <w:vAlign w:val="center"/>
            <w:hideMark/>
          </w:tcPr>
          <w:p w14:paraId="7AB8B088" w14:textId="77777777" w:rsidR="004C19E9" w:rsidRPr="004C19E9" w:rsidRDefault="004C19E9" w:rsidP="004C19E9">
            <w:pPr>
              <w:spacing w:after="0" w:line="240" w:lineRule="auto"/>
              <w:jc w:val="center"/>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No</w:t>
            </w:r>
          </w:p>
        </w:tc>
        <w:tc>
          <w:tcPr>
            <w:tcW w:w="350" w:type="pct"/>
            <w:vMerge w:val="restart"/>
            <w:tcBorders>
              <w:top w:val="nil"/>
              <w:left w:val="single" w:sz="4" w:space="0" w:color="auto"/>
              <w:bottom w:val="single" w:sz="4" w:space="0" w:color="auto"/>
              <w:right w:val="single" w:sz="4" w:space="0" w:color="auto"/>
            </w:tcBorders>
            <w:shd w:val="clear" w:color="000000" w:fill="F6DEE0"/>
            <w:vAlign w:val="center"/>
            <w:hideMark/>
          </w:tcPr>
          <w:p w14:paraId="1A595D9A" w14:textId="77777777" w:rsidR="004C19E9" w:rsidRPr="004C19E9" w:rsidRDefault="004C19E9" w:rsidP="004C19E9">
            <w:pPr>
              <w:spacing w:after="0" w:line="240" w:lineRule="auto"/>
              <w:jc w:val="center"/>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No</w:t>
            </w:r>
          </w:p>
        </w:tc>
        <w:tc>
          <w:tcPr>
            <w:tcW w:w="296" w:type="pct"/>
            <w:vMerge w:val="restart"/>
            <w:tcBorders>
              <w:top w:val="nil"/>
              <w:left w:val="single" w:sz="4" w:space="0" w:color="auto"/>
              <w:bottom w:val="single" w:sz="4" w:space="0" w:color="auto"/>
              <w:right w:val="single" w:sz="4" w:space="0" w:color="auto"/>
            </w:tcBorders>
            <w:shd w:val="clear" w:color="000000" w:fill="F6DEE0"/>
            <w:vAlign w:val="center"/>
            <w:hideMark/>
          </w:tcPr>
          <w:p w14:paraId="71688AB9" w14:textId="77777777" w:rsidR="004C19E9" w:rsidRPr="004C19E9" w:rsidRDefault="004C19E9" w:rsidP="004C19E9">
            <w:pPr>
              <w:spacing w:after="0" w:line="240" w:lineRule="auto"/>
              <w:jc w:val="center"/>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 </w:t>
            </w:r>
          </w:p>
        </w:tc>
      </w:tr>
      <w:tr w:rsidR="001166FA" w:rsidRPr="004C19E9" w14:paraId="46516BCC" w14:textId="77777777" w:rsidTr="001166FA">
        <w:trPr>
          <w:trHeight w:val="690"/>
        </w:trPr>
        <w:tc>
          <w:tcPr>
            <w:tcW w:w="145" w:type="pct"/>
            <w:vMerge/>
            <w:tcBorders>
              <w:top w:val="nil"/>
              <w:left w:val="single" w:sz="4" w:space="0" w:color="auto"/>
              <w:bottom w:val="single" w:sz="4" w:space="0" w:color="auto"/>
              <w:right w:val="single" w:sz="4" w:space="0" w:color="auto"/>
            </w:tcBorders>
            <w:vAlign w:val="center"/>
            <w:hideMark/>
          </w:tcPr>
          <w:p w14:paraId="333A3E22" w14:textId="77777777" w:rsidR="004C19E9" w:rsidRPr="004C19E9" w:rsidRDefault="004C19E9" w:rsidP="004C19E9">
            <w:pPr>
              <w:spacing w:after="0" w:line="240" w:lineRule="auto"/>
              <w:rPr>
                <w:rFonts w:ascii="Calibri" w:eastAsia="Times New Roman" w:hAnsi="Calibri" w:cs="Calibri"/>
                <w:b/>
                <w:bCs/>
                <w:color w:val="000000"/>
                <w:sz w:val="20"/>
                <w:szCs w:val="20"/>
                <w:lang w:val="en-US" w:eastAsia="en-US"/>
              </w:rPr>
            </w:pPr>
          </w:p>
        </w:tc>
        <w:tc>
          <w:tcPr>
            <w:tcW w:w="1142" w:type="pct"/>
            <w:vMerge/>
            <w:tcBorders>
              <w:top w:val="nil"/>
              <w:left w:val="single" w:sz="4" w:space="0" w:color="auto"/>
              <w:bottom w:val="single" w:sz="4" w:space="0" w:color="auto"/>
              <w:right w:val="single" w:sz="4" w:space="0" w:color="auto"/>
            </w:tcBorders>
            <w:vAlign w:val="center"/>
            <w:hideMark/>
          </w:tcPr>
          <w:p w14:paraId="5C6E5E0A"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p>
        </w:tc>
        <w:tc>
          <w:tcPr>
            <w:tcW w:w="471" w:type="pct"/>
            <w:tcBorders>
              <w:top w:val="nil"/>
              <w:left w:val="nil"/>
              <w:bottom w:val="single" w:sz="4" w:space="0" w:color="auto"/>
              <w:right w:val="single" w:sz="4" w:space="0" w:color="auto"/>
            </w:tcBorders>
            <w:shd w:val="clear" w:color="000000" w:fill="F6DEE0"/>
            <w:noWrap/>
            <w:vAlign w:val="center"/>
            <w:hideMark/>
          </w:tcPr>
          <w:p w14:paraId="111A8E9C" w14:textId="77777777" w:rsidR="004C19E9" w:rsidRPr="004C19E9" w:rsidRDefault="004C19E9" w:rsidP="004C19E9">
            <w:pPr>
              <w:spacing w:after="0" w:line="240" w:lineRule="auto"/>
              <w:jc w:val="center"/>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Denominator</w:t>
            </w:r>
          </w:p>
        </w:tc>
        <w:tc>
          <w:tcPr>
            <w:tcW w:w="1199" w:type="pct"/>
            <w:tcBorders>
              <w:top w:val="nil"/>
              <w:left w:val="nil"/>
              <w:bottom w:val="single" w:sz="4" w:space="0" w:color="auto"/>
              <w:right w:val="single" w:sz="4" w:space="0" w:color="auto"/>
            </w:tcBorders>
            <w:shd w:val="clear" w:color="000000" w:fill="F6DEE0"/>
            <w:hideMark/>
          </w:tcPr>
          <w:p w14:paraId="42DDBC81"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 xml:space="preserve">the number of individuals in the population aged ≥65 years </w:t>
            </w:r>
          </w:p>
        </w:tc>
        <w:tc>
          <w:tcPr>
            <w:tcW w:w="733" w:type="pct"/>
            <w:gridSpan w:val="2"/>
            <w:tcBorders>
              <w:top w:val="nil"/>
              <w:left w:val="nil"/>
              <w:bottom w:val="single" w:sz="4" w:space="0" w:color="auto"/>
              <w:right w:val="single" w:sz="4" w:space="0" w:color="auto"/>
            </w:tcBorders>
            <w:shd w:val="clear" w:color="000000" w:fill="F6DEE0"/>
            <w:hideMark/>
          </w:tcPr>
          <w:p w14:paraId="4F9585CB" w14:textId="709B78D3" w:rsidR="004C19E9" w:rsidRPr="004C19E9" w:rsidRDefault="004C19E9" w:rsidP="004C19E9">
            <w:pPr>
              <w:spacing w:after="0" w:line="240" w:lineRule="auto"/>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 xml:space="preserve">National Surveillance, Population-based surveys </w:t>
            </w:r>
          </w:p>
        </w:tc>
        <w:tc>
          <w:tcPr>
            <w:tcW w:w="364" w:type="pct"/>
            <w:vMerge/>
            <w:tcBorders>
              <w:top w:val="nil"/>
              <w:left w:val="single" w:sz="4" w:space="0" w:color="auto"/>
              <w:bottom w:val="single" w:sz="4" w:space="0" w:color="auto"/>
              <w:right w:val="single" w:sz="4" w:space="0" w:color="auto"/>
            </w:tcBorders>
            <w:vAlign w:val="center"/>
            <w:hideMark/>
          </w:tcPr>
          <w:p w14:paraId="363A89EC" w14:textId="77777777" w:rsidR="004C19E9" w:rsidRPr="004C19E9" w:rsidRDefault="004C19E9" w:rsidP="004C19E9">
            <w:pPr>
              <w:spacing w:after="0" w:line="240" w:lineRule="auto"/>
              <w:rPr>
                <w:rFonts w:ascii="Calibri" w:eastAsia="Times New Roman" w:hAnsi="Calibri" w:cs="Calibri"/>
                <w:sz w:val="20"/>
                <w:szCs w:val="20"/>
                <w:lang w:val="en-US" w:eastAsia="en-US"/>
              </w:rPr>
            </w:pPr>
          </w:p>
        </w:tc>
        <w:tc>
          <w:tcPr>
            <w:tcW w:w="300" w:type="pct"/>
            <w:vMerge/>
            <w:tcBorders>
              <w:top w:val="nil"/>
              <w:left w:val="single" w:sz="4" w:space="0" w:color="auto"/>
              <w:bottom w:val="single" w:sz="4" w:space="0" w:color="auto"/>
              <w:right w:val="single" w:sz="4" w:space="0" w:color="auto"/>
            </w:tcBorders>
            <w:vAlign w:val="center"/>
            <w:hideMark/>
          </w:tcPr>
          <w:p w14:paraId="7ECA0004"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p>
        </w:tc>
        <w:tc>
          <w:tcPr>
            <w:tcW w:w="350" w:type="pct"/>
            <w:vMerge/>
            <w:tcBorders>
              <w:top w:val="nil"/>
              <w:left w:val="single" w:sz="4" w:space="0" w:color="auto"/>
              <w:bottom w:val="single" w:sz="4" w:space="0" w:color="auto"/>
              <w:right w:val="single" w:sz="4" w:space="0" w:color="auto"/>
            </w:tcBorders>
            <w:vAlign w:val="center"/>
            <w:hideMark/>
          </w:tcPr>
          <w:p w14:paraId="266F9F21"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p>
        </w:tc>
        <w:tc>
          <w:tcPr>
            <w:tcW w:w="296" w:type="pct"/>
            <w:vMerge/>
            <w:tcBorders>
              <w:top w:val="nil"/>
              <w:left w:val="single" w:sz="4" w:space="0" w:color="auto"/>
              <w:bottom w:val="single" w:sz="4" w:space="0" w:color="auto"/>
              <w:right w:val="single" w:sz="4" w:space="0" w:color="auto"/>
            </w:tcBorders>
            <w:vAlign w:val="center"/>
            <w:hideMark/>
          </w:tcPr>
          <w:p w14:paraId="23386A44"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p>
        </w:tc>
      </w:tr>
      <w:tr w:rsidR="001166FA" w:rsidRPr="004C19E9" w14:paraId="6FA55B0D" w14:textId="77777777" w:rsidTr="001166FA">
        <w:trPr>
          <w:trHeight w:val="600"/>
        </w:trPr>
        <w:tc>
          <w:tcPr>
            <w:tcW w:w="145" w:type="pct"/>
            <w:vMerge w:val="restart"/>
            <w:tcBorders>
              <w:top w:val="nil"/>
              <w:left w:val="single" w:sz="4" w:space="0" w:color="auto"/>
              <w:bottom w:val="single" w:sz="4" w:space="0" w:color="auto"/>
              <w:right w:val="single" w:sz="4" w:space="0" w:color="auto"/>
            </w:tcBorders>
            <w:shd w:val="clear" w:color="000000" w:fill="F6DEE0"/>
            <w:noWrap/>
            <w:vAlign w:val="center"/>
            <w:hideMark/>
          </w:tcPr>
          <w:p w14:paraId="3CA15AAF" w14:textId="77777777" w:rsidR="004C19E9" w:rsidRPr="004C19E9" w:rsidRDefault="004C19E9" w:rsidP="004C19E9">
            <w:pPr>
              <w:spacing w:after="0" w:line="240" w:lineRule="auto"/>
              <w:jc w:val="center"/>
              <w:rPr>
                <w:rFonts w:ascii="Calibri" w:eastAsia="Times New Roman" w:hAnsi="Calibri" w:cs="Calibri"/>
                <w:b/>
                <w:bCs/>
                <w:color w:val="000000"/>
                <w:sz w:val="20"/>
                <w:szCs w:val="20"/>
                <w:lang w:val="en-US" w:eastAsia="en-US"/>
              </w:rPr>
            </w:pPr>
            <w:r w:rsidRPr="004C19E9">
              <w:rPr>
                <w:rFonts w:ascii="Calibri" w:eastAsia="Times New Roman" w:hAnsi="Calibri" w:cs="Calibri"/>
                <w:b/>
                <w:bCs/>
                <w:color w:val="000000"/>
                <w:sz w:val="20"/>
                <w:szCs w:val="20"/>
                <w:lang w:val="en-US" w:eastAsia="en-US"/>
              </w:rPr>
              <w:t>33</w:t>
            </w:r>
          </w:p>
        </w:tc>
        <w:tc>
          <w:tcPr>
            <w:tcW w:w="1142" w:type="pct"/>
            <w:vMerge w:val="restart"/>
            <w:tcBorders>
              <w:top w:val="nil"/>
              <w:left w:val="single" w:sz="4" w:space="0" w:color="auto"/>
              <w:bottom w:val="single" w:sz="4" w:space="0" w:color="auto"/>
              <w:right w:val="single" w:sz="4" w:space="0" w:color="auto"/>
            </w:tcBorders>
            <w:shd w:val="clear" w:color="000000" w:fill="F6DEE0"/>
            <w:vAlign w:val="center"/>
            <w:hideMark/>
          </w:tcPr>
          <w:p w14:paraId="1520C2CB"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EC severe mental health conditions – proxied using the coverage of treatment for severe mental health conditions.</w:t>
            </w:r>
          </w:p>
        </w:tc>
        <w:tc>
          <w:tcPr>
            <w:tcW w:w="471" w:type="pct"/>
            <w:tcBorders>
              <w:top w:val="nil"/>
              <w:left w:val="nil"/>
              <w:bottom w:val="single" w:sz="4" w:space="0" w:color="auto"/>
              <w:right w:val="single" w:sz="4" w:space="0" w:color="auto"/>
            </w:tcBorders>
            <w:shd w:val="clear" w:color="000000" w:fill="F6DEE0"/>
            <w:noWrap/>
            <w:vAlign w:val="center"/>
            <w:hideMark/>
          </w:tcPr>
          <w:p w14:paraId="24DDA9B5" w14:textId="77777777" w:rsidR="004C19E9" w:rsidRPr="004C19E9" w:rsidRDefault="004C19E9" w:rsidP="004C19E9">
            <w:pPr>
              <w:spacing w:after="0" w:line="240" w:lineRule="auto"/>
              <w:jc w:val="center"/>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Numerator</w:t>
            </w:r>
          </w:p>
        </w:tc>
        <w:tc>
          <w:tcPr>
            <w:tcW w:w="1199" w:type="pct"/>
            <w:tcBorders>
              <w:top w:val="nil"/>
              <w:left w:val="nil"/>
              <w:bottom w:val="single" w:sz="4" w:space="0" w:color="auto"/>
              <w:right w:val="single" w:sz="4" w:space="0" w:color="auto"/>
            </w:tcBorders>
            <w:shd w:val="clear" w:color="000000" w:fill="F6DEE0"/>
            <w:hideMark/>
          </w:tcPr>
          <w:p w14:paraId="66C454ED"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number of people on treatment for severe mental health conditions</w:t>
            </w:r>
          </w:p>
        </w:tc>
        <w:tc>
          <w:tcPr>
            <w:tcW w:w="733" w:type="pct"/>
            <w:gridSpan w:val="2"/>
            <w:tcBorders>
              <w:top w:val="nil"/>
              <w:left w:val="nil"/>
              <w:bottom w:val="single" w:sz="4" w:space="0" w:color="auto"/>
              <w:right w:val="single" w:sz="4" w:space="0" w:color="auto"/>
            </w:tcBorders>
            <w:shd w:val="clear" w:color="000000" w:fill="F6DEE0"/>
            <w:hideMark/>
          </w:tcPr>
          <w:p w14:paraId="14FAEF94" w14:textId="4ECBD76B" w:rsidR="004C19E9" w:rsidRPr="004C19E9" w:rsidRDefault="004C19E9" w:rsidP="004C19E9">
            <w:pPr>
              <w:spacing w:after="0" w:line="240" w:lineRule="auto"/>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 xml:space="preserve">Facility survey, National Surveillance, Population-based surveys </w:t>
            </w:r>
          </w:p>
        </w:tc>
        <w:tc>
          <w:tcPr>
            <w:tcW w:w="364" w:type="pct"/>
            <w:vMerge w:val="restart"/>
            <w:tcBorders>
              <w:top w:val="nil"/>
              <w:left w:val="single" w:sz="4" w:space="0" w:color="auto"/>
              <w:bottom w:val="single" w:sz="4" w:space="0" w:color="auto"/>
              <w:right w:val="single" w:sz="4" w:space="0" w:color="auto"/>
            </w:tcBorders>
            <w:shd w:val="clear" w:color="000000" w:fill="F6DEE0"/>
            <w:noWrap/>
            <w:vAlign w:val="center"/>
            <w:hideMark/>
          </w:tcPr>
          <w:p w14:paraId="79C5AE52" w14:textId="77777777" w:rsidR="004C19E9" w:rsidRPr="004C19E9" w:rsidRDefault="004C19E9" w:rsidP="004C19E9">
            <w:pPr>
              <w:spacing w:after="0" w:line="240" w:lineRule="auto"/>
              <w:jc w:val="center"/>
              <w:rPr>
                <w:rFonts w:ascii="Calibri" w:eastAsia="Times New Roman" w:hAnsi="Calibri" w:cs="Calibri"/>
                <w:color w:val="C00000"/>
                <w:sz w:val="20"/>
                <w:szCs w:val="20"/>
                <w:lang w:val="en-US" w:eastAsia="en-US"/>
              </w:rPr>
            </w:pPr>
            <w:r w:rsidRPr="004C19E9">
              <w:rPr>
                <w:rFonts w:ascii="Calibri" w:eastAsia="Times New Roman" w:hAnsi="Calibri" w:cs="Calibri"/>
                <w:color w:val="C00000"/>
                <w:sz w:val="20"/>
                <w:szCs w:val="20"/>
                <w:lang w:val="en-US" w:eastAsia="en-US"/>
              </w:rPr>
              <w:t> </w:t>
            </w:r>
          </w:p>
        </w:tc>
        <w:tc>
          <w:tcPr>
            <w:tcW w:w="300" w:type="pct"/>
            <w:vMerge w:val="restart"/>
            <w:tcBorders>
              <w:top w:val="nil"/>
              <w:left w:val="single" w:sz="4" w:space="0" w:color="auto"/>
              <w:bottom w:val="single" w:sz="4" w:space="0" w:color="auto"/>
              <w:right w:val="single" w:sz="4" w:space="0" w:color="auto"/>
            </w:tcBorders>
            <w:shd w:val="clear" w:color="000000" w:fill="F6DEE0"/>
            <w:vAlign w:val="center"/>
            <w:hideMark/>
          </w:tcPr>
          <w:p w14:paraId="2FBD6A6A" w14:textId="77777777" w:rsidR="004C19E9" w:rsidRPr="004C19E9" w:rsidRDefault="004C19E9" w:rsidP="004C19E9">
            <w:pPr>
              <w:spacing w:after="0" w:line="240" w:lineRule="auto"/>
              <w:jc w:val="center"/>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 </w:t>
            </w:r>
          </w:p>
        </w:tc>
        <w:tc>
          <w:tcPr>
            <w:tcW w:w="350" w:type="pct"/>
            <w:vMerge w:val="restart"/>
            <w:tcBorders>
              <w:top w:val="nil"/>
              <w:left w:val="single" w:sz="4" w:space="0" w:color="auto"/>
              <w:bottom w:val="single" w:sz="4" w:space="0" w:color="auto"/>
              <w:right w:val="single" w:sz="4" w:space="0" w:color="auto"/>
            </w:tcBorders>
            <w:shd w:val="clear" w:color="000000" w:fill="F6DEE0"/>
            <w:vAlign w:val="center"/>
            <w:hideMark/>
          </w:tcPr>
          <w:p w14:paraId="10A82A45" w14:textId="77777777" w:rsidR="004C19E9" w:rsidRPr="004C19E9" w:rsidRDefault="004C19E9" w:rsidP="004C19E9">
            <w:pPr>
              <w:spacing w:after="0" w:line="240" w:lineRule="auto"/>
              <w:jc w:val="center"/>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 </w:t>
            </w:r>
          </w:p>
        </w:tc>
        <w:tc>
          <w:tcPr>
            <w:tcW w:w="296" w:type="pct"/>
            <w:vMerge w:val="restart"/>
            <w:tcBorders>
              <w:top w:val="nil"/>
              <w:left w:val="single" w:sz="4" w:space="0" w:color="auto"/>
              <w:bottom w:val="single" w:sz="4" w:space="0" w:color="auto"/>
              <w:right w:val="single" w:sz="4" w:space="0" w:color="auto"/>
            </w:tcBorders>
            <w:shd w:val="clear" w:color="000000" w:fill="F6DEE0"/>
            <w:vAlign w:val="center"/>
            <w:hideMark/>
          </w:tcPr>
          <w:p w14:paraId="1E6A50AA" w14:textId="77777777" w:rsidR="004C19E9" w:rsidRPr="004C19E9" w:rsidRDefault="004C19E9" w:rsidP="004C19E9">
            <w:pPr>
              <w:spacing w:after="0" w:line="240" w:lineRule="auto"/>
              <w:jc w:val="center"/>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3.4.2</w:t>
            </w:r>
          </w:p>
        </w:tc>
      </w:tr>
      <w:tr w:rsidR="001166FA" w:rsidRPr="004C19E9" w14:paraId="354FCCE9" w14:textId="77777777" w:rsidTr="001166FA">
        <w:trPr>
          <w:trHeight w:val="735"/>
        </w:trPr>
        <w:tc>
          <w:tcPr>
            <w:tcW w:w="145" w:type="pct"/>
            <w:vMerge/>
            <w:tcBorders>
              <w:top w:val="nil"/>
              <w:left w:val="single" w:sz="4" w:space="0" w:color="auto"/>
              <w:bottom w:val="single" w:sz="4" w:space="0" w:color="auto"/>
              <w:right w:val="single" w:sz="4" w:space="0" w:color="auto"/>
            </w:tcBorders>
            <w:vAlign w:val="center"/>
            <w:hideMark/>
          </w:tcPr>
          <w:p w14:paraId="35A304FF" w14:textId="77777777" w:rsidR="004C19E9" w:rsidRPr="004C19E9" w:rsidRDefault="004C19E9" w:rsidP="004C19E9">
            <w:pPr>
              <w:spacing w:after="0" w:line="240" w:lineRule="auto"/>
              <w:rPr>
                <w:rFonts w:ascii="Calibri" w:eastAsia="Times New Roman" w:hAnsi="Calibri" w:cs="Calibri"/>
                <w:b/>
                <w:bCs/>
                <w:color w:val="000000"/>
                <w:sz w:val="20"/>
                <w:szCs w:val="20"/>
                <w:lang w:val="en-US" w:eastAsia="en-US"/>
              </w:rPr>
            </w:pPr>
          </w:p>
        </w:tc>
        <w:tc>
          <w:tcPr>
            <w:tcW w:w="1142" w:type="pct"/>
            <w:vMerge/>
            <w:tcBorders>
              <w:top w:val="nil"/>
              <w:left w:val="single" w:sz="4" w:space="0" w:color="auto"/>
              <w:bottom w:val="single" w:sz="4" w:space="0" w:color="auto"/>
              <w:right w:val="single" w:sz="4" w:space="0" w:color="auto"/>
            </w:tcBorders>
            <w:vAlign w:val="center"/>
            <w:hideMark/>
          </w:tcPr>
          <w:p w14:paraId="4A038D78"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p>
        </w:tc>
        <w:tc>
          <w:tcPr>
            <w:tcW w:w="471" w:type="pct"/>
            <w:tcBorders>
              <w:top w:val="nil"/>
              <w:left w:val="nil"/>
              <w:bottom w:val="single" w:sz="4" w:space="0" w:color="auto"/>
              <w:right w:val="single" w:sz="4" w:space="0" w:color="auto"/>
            </w:tcBorders>
            <w:shd w:val="clear" w:color="000000" w:fill="F6DEE0"/>
            <w:noWrap/>
            <w:vAlign w:val="center"/>
            <w:hideMark/>
          </w:tcPr>
          <w:p w14:paraId="0556FE7A" w14:textId="77777777" w:rsidR="004C19E9" w:rsidRPr="004C19E9" w:rsidRDefault="004C19E9" w:rsidP="004C19E9">
            <w:pPr>
              <w:spacing w:after="0" w:line="240" w:lineRule="auto"/>
              <w:jc w:val="center"/>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Denominator</w:t>
            </w:r>
          </w:p>
        </w:tc>
        <w:tc>
          <w:tcPr>
            <w:tcW w:w="1199" w:type="pct"/>
            <w:tcBorders>
              <w:top w:val="nil"/>
              <w:left w:val="nil"/>
              <w:bottom w:val="single" w:sz="4" w:space="0" w:color="auto"/>
              <w:right w:val="single" w:sz="4" w:space="0" w:color="auto"/>
            </w:tcBorders>
            <w:shd w:val="clear" w:color="000000" w:fill="F6DEE0"/>
            <w:hideMark/>
          </w:tcPr>
          <w:p w14:paraId="756D458A"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number of people with severe mental health conditions</w:t>
            </w:r>
          </w:p>
        </w:tc>
        <w:tc>
          <w:tcPr>
            <w:tcW w:w="733" w:type="pct"/>
            <w:gridSpan w:val="2"/>
            <w:tcBorders>
              <w:top w:val="nil"/>
              <w:left w:val="nil"/>
              <w:bottom w:val="single" w:sz="4" w:space="0" w:color="auto"/>
              <w:right w:val="single" w:sz="4" w:space="0" w:color="auto"/>
            </w:tcBorders>
            <w:shd w:val="clear" w:color="000000" w:fill="F6DEE0"/>
            <w:hideMark/>
          </w:tcPr>
          <w:p w14:paraId="7C11BA50" w14:textId="3759B4F5" w:rsidR="004C19E9" w:rsidRPr="004C19E9" w:rsidRDefault="004C19E9" w:rsidP="004C19E9">
            <w:pPr>
              <w:spacing w:after="0" w:line="240" w:lineRule="auto"/>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 xml:space="preserve">Facility survey, National Surveillance, Population-based surveys </w:t>
            </w:r>
          </w:p>
        </w:tc>
        <w:tc>
          <w:tcPr>
            <w:tcW w:w="364" w:type="pct"/>
            <w:vMerge/>
            <w:tcBorders>
              <w:top w:val="nil"/>
              <w:left w:val="single" w:sz="4" w:space="0" w:color="auto"/>
              <w:bottom w:val="single" w:sz="4" w:space="0" w:color="auto"/>
              <w:right w:val="single" w:sz="4" w:space="0" w:color="auto"/>
            </w:tcBorders>
            <w:vAlign w:val="center"/>
            <w:hideMark/>
          </w:tcPr>
          <w:p w14:paraId="4F258094" w14:textId="77777777" w:rsidR="004C19E9" w:rsidRPr="004C19E9" w:rsidRDefault="004C19E9" w:rsidP="004C19E9">
            <w:pPr>
              <w:spacing w:after="0" w:line="240" w:lineRule="auto"/>
              <w:rPr>
                <w:rFonts w:ascii="Calibri" w:eastAsia="Times New Roman" w:hAnsi="Calibri" w:cs="Calibri"/>
                <w:color w:val="C00000"/>
                <w:sz w:val="20"/>
                <w:szCs w:val="20"/>
                <w:lang w:val="en-US" w:eastAsia="en-US"/>
              </w:rPr>
            </w:pPr>
          </w:p>
        </w:tc>
        <w:tc>
          <w:tcPr>
            <w:tcW w:w="300" w:type="pct"/>
            <w:vMerge/>
            <w:tcBorders>
              <w:top w:val="nil"/>
              <w:left w:val="single" w:sz="4" w:space="0" w:color="auto"/>
              <w:bottom w:val="single" w:sz="4" w:space="0" w:color="auto"/>
              <w:right w:val="single" w:sz="4" w:space="0" w:color="auto"/>
            </w:tcBorders>
            <w:vAlign w:val="center"/>
            <w:hideMark/>
          </w:tcPr>
          <w:p w14:paraId="6CC28ECC"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p>
        </w:tc>
        <w:tc>
          <w:tcPr>
            <w:tcW w:w="350" w:type="pct"/>
            <w:vMerge/>
            <w:tcBorders>
              <w:top w:val="nil"/>
              <w:left w:val="single" w:sz="4" w:space="0" w:color="auto"/>
              <w:bottom w:val="single" w:sz="4" w:space="0" w:color="auto"/>
              <w:right w:val="single" w:sz="4" w:space="0" w:color="auto"/>
            </w:tcBorders>
            <w:vAlign w:val="center"/>
            <w:hideMark/>
          </w:tcPr>
          <w:p w14:paraId="7EED0A90"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p>
        </w:tc>
        <w:tc>
          <w:tcPr>
            <w:tcW w:w="296" w:type="pct"/>
            <w:vMerge/>
            <w:tcBorders>
              <w:top w:val="nil"/>
              <w:left w:val="single" w:sz="4" w:space="0" w:color="auto"/>
              <w:bottom w:val="single" w:sz="4" w:space="0" w:color="auto"/>
              <w:right w:val="single" w:sz="4" w:space="0" w:color="auto"/>
            </w:tcBorders>
            <w:vAlign w:val="center"/>
            <w:hideMark/>
          </w:tcPr>
          <w:p w14:paraId="66BB2A39"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p>
        </w:tc>
      </w:tr>
      <w:tr w:rsidR="001166FA" w:rsidRPr="004C19E9" w14:paraId="33378167" w14:textId="77777777" w:rsidTr="001166FA">
        <w:trPr>
          <w:trHeight w:val="600"/>
        </w:trPr>
        <w:tc>
          <w:tcPr>
            <w:tcW w:w="145" w:type="pct"/>
            <w:vMerge w:val="restart"/>
            <w:tcBorders>
              <w:top w:val="nil"/>
              <w:left w:val="single" w:sz="4" w:space="0" w:color="auto"/>
              <w:bottom w:val="single" w:sz="4" w:space="0" w:color="auto"/>
              <w:right w:val="single" w:sz="4" w:space="0" w:color="auto"/>
            </w:tcBorders>
            <w:shd w:val="clear" w:color="000000" w:fill="F6DEE0"/>
            <w:noWrap/>
            <w:vAlign w:val="center"/>
            <w:hideMark/>
          </w:tcPr>
          <w:p w14:paraId="5174D851" w14:textId="77777777" w:rsidR="004C19E9" w:rsidRPr="004C19E9" w:rsidRDefault="004C19E9" w:rsidP="004C19E9">
            <w:pPr>
              <w:spacing w:after="0" w:line="240" w:lineRule="auto"/>
              <w:jc w:val="center"/>
              <w:rPr>
                <w:rFonts w:ascii="Calibri" w:eastAsia="Times New Roman" w:hAnsi="Calibri" w:cs="Calibri"/>
                <w:b/>
                <w:bCs/>
                <w:color w:val="000000"/>
                <w:sz w:val="20"/>
                <w:szCs w:val="20"/>
                <w:lang w:val="en-US" w:eastAsia="en-US"/>
              </w:rPr>
            </w:pPr>
            <w:r w:rsidRPr="004C19E9">
              <w:rPr>
                <w:rFonts w:ascii="Calibri" w:eastAsia="Times New Roman" w:hAnsi="Calibri" w:cs="Calibri"/>
                <w:b/>
                <w:bCs/>
                <w:color w:val="000000"/>
                <w:sz w:val="20"/>
                <w:szCs w:val="20"/>
                <w:lang w:val="en-US" w:eastAsia="en-US"/>
              </w:rPr>
              <w:t>34</w:t>
            </w:r>
          </w:p>
        </w:tc>
        <w:tc>
          <w:tcPr>
            <w:tcW w:w="1142" w:type="pct"/>
            <w:vMerge w:val="restart"/>
            <w:tcBorders>
              <w:top w:val="nil"/>
              <w:left w:val="single" w:sz="4" w:space="0" w:color="auto"/>
              <w:bottom w:val="single" w:sz="4" w:space="0" w:color="auto"/>
              <w:right w:val="single" w:sz="4" w:space="0" w:color="auto"/>
            </w:tcBorders>
            <w:shd w:val="clear" w:color="000000" w:fill="F6DEE0"/>
            <w:vAlign w:val="center"/>
            <w:hideMark/>
          </w:tcPr>
          <w:p w14:paraId="0A9B74D2"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EC treatment for substance abuse – proxied using the fraction of individuals with substance abuse disorders who are receiving some treatment</w:t>
            </w:r>
          </w:p>
        </w:tc>
        <w:tc>
          <w:tcPr>
            <w:tcW w:w="471" w:type="pct"/>
            <w:tcBorders>
              <w:top w:val="nil"/>
              <w:left w:val="nil"/>
              <w:bottom w:val="single" w:sz="4" w:space="0" w:color="auto"/>
              <w:right w:val="single" w:sz="4" w:space="0" w:color="auto"/>
            </w:tcBorders>
            <w:shd w:val="clear" w:color="000000" w:fill="F6DEE0"/>
            <w:noWrap/>
            <w:vAlign w:val="center"/>
            <w:hideMark/>
          </w:tcPr>
          <w:p w14:paraId="08DD4428" w14:textId="77777777" w:rsidR="004C19E9" w:rsidRPr="004C19E9" w:rsidRDefault="004C19E9" w:rsidP="004C19E9">
            <w:pPr>
              <w:spacing w:after="0" w:line="240" w:lineRule="auto"/>
              <w:jc w:val="center"/>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Numerator</w:t>
            </w:r>
          </w:p>
        </w:tc>
        <w:tc>
          <w:tcPr>
            <w:tcW w:w="1199" w:type="pct"/>
            <w:tcBorders>
              <w:top w:val="nil"/>
              <w:left w:val="nil"/>
              <w:bottom w:val="single" w:sz="4" w:space="0" w:color="auto"/>
              <w:right w:val="single" w:sz="4" w:space="0" w:color="auto"/>
            </w:tcBorders>
            <w:shd w:val="clear" w:color="000000" w:fill="F6DEE0"/>
            <w:hideMark/>
          </w:tcPr>
          <w:p w14:paraId="2B8C57EC"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number of people who have received different treatment interventions in the past year</w:t>
            </w:r>
          </w:p>
        </w:tc>
        <w:tc>
          <w:tcPr>
            <w:tcW w:w="733" w:type="pct"/>
            <w:gridSpan w:val="2"/>
            <w:tcBorders>
              <w:top w:val="nil"/>
              <w:left w:val="nil"/>
              <w:bottom w:val="single" w:sz="4" w:space="0" w:color="auto"/>
              <w:right w:val="single" w:sz="4" w:space="0" w:color="auto"/>
            </w:tcBorders>
            <w:shd w:val="clear" w:color="000000" w:fill="F6DEE0"/>
            <w:hideMark/>
          </w:tcPr>
          <w:p w14:paraId="4215C4B6" w14:textId="522053CF" w:rsidR="004C19E9" w:rsidRPr="004C19E9" w:rsidRDefault="004C19E9" w:rsidP="004C19E9">
            <w:pPr>
              <w:spacing w:after="0" w:line="240" w:lineRule="auto"/>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 xml:space="preserve">National Surveillance, Population-based surveys </w:t>
            </w:r>
          </w:p>
        </w:tc>
        <w:tc>
          <w:tcPr>
            <w:tcW w:w="364" w:type="pct"/>
            <w:vMerge w:val="restart"/>
            <w:tcBorders>
              <w:top w:val="nil"/>
              <w:left w:val="single" w:sz="4" w:space="0" w:color="auto"/>
              <w:bottom w:val="single" w:sz="4" w:space="0" w:color="auto"/>
              <w:right w:val="single" w:sz="4" w:space="0" w:color="auto"/>
            </w:tcBorders>
            <w:shd w:val="clear" w:color="000000" w:fill="F6DEE0"/>
            <w:vAlign w:val="center"/>
            <w:hideMark/>
          </w:tcPr>
          <w:p w14:paraId="58285B00" w14:textId="77777777" w:rsidR="004C19E9" w:rsidRPr="004C19E9" w:rsidRDefault="004C19E9" w:rsidP="004C19E9">
            <w:pPr>
              <w:spacing w:after="0" w:line="240" w:lineRule="auto"/>
              <w:jc w:val="center"/>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 </w:t>
            </w:r>
          </w:p>
        </w:tc>
        <w:tc>
          <w:tcPr>
            <w:tcW w:w="300" w:type="pct"/>
            <w:vMerge w:val="restart"/>
            <w:tcBorders>
              <w:top w:val="nil"/>
              <w:left w:val="single" w:sz="4" w:space="0" w:color="auto"/>
              <w:bottom w:val="single" w:sz="4" w:space="0" w:color="auto"/>
              <w:right w:val="single" w:sz="4" w:space="0" w:color="auto"/>
            </w:tcBorders>
            <w:shd w:val="clear" w:color="000000" w:fill="F6DEE0"/>
            <w:vAlign w:val="center"/>
            <w:hideMark/>
          </w:tcPr>
          <w:p w14:paraId="1F37E385" w14:textId="77777777" w:rsidR="004C19E9" w:rsidRPr="004C19E9" w:rsidRDefault="004C19E9" w:rsidP="004C19E9">
            <w:pPr>
              <w:spacing w:after="0" w:line="240" w:lineRule="auto"/>
              <w:jc w:val="center"/>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 </w:t>
            </w:r>
          </w:p>
        </w:tc>
        <w:tc>
          <w:tcPr>
            <w:tcW w:w="350" w:type="pct"/>
            <w:vMerge w:val="restart"/>
            <w:tcBorders>
              <w:top w:val="nil"/>
              <w:left w:val="single" w:sz="4" w:space="0" w:color="auto"/>
              <w:bottom w:val="single" w:sz="4" w:space="0" w:color="auto"/>
              <w:right w:val="single" w:sz="4" w:space="0" w:color="auto"/>
            </w:tcBorders>
            <w:shd w:val="clear" w:color="000000" w:fill="F6DEE0"/>
            <w:vAlign w:val="center"/>
            <w:hideMark/>
          </w:tcPr>
          <w:p w14:paraId="3E203AF6" w14:textId="77777777" w:rsidR="004C19E9" w:rsidRPr="004C19E9" w:rsidRDefault="004C19E9" w:rsidP="004C19E9">
            <w:pPr>
              <w:spacing w:after="0" w:line="240" w:lineRule="auto"/>
              <w:jc w:val="center"/>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 </w:t>
            </w:r>
          </w:p>
        </w:tc>
        <w:tc>
          <w:tcPr>
            <w:tcW w:w="296" w:type="pct"/>
            <w:vMerge w:val="restart"/>
            <w:tcBorders>
              <w:top w:val="nil"/>
              <w:left w:val="single" w:sz="4" w:space="0" w:color="auto"/>
              <w:bottom w:val="single" w:sz="4" w:space="0" w:color="auto"/>
              <w:right w:val="single" w:sz="4" w:space="0" w:color="auto"/>
            </w:tcBorders>
            <w:shd w:val="clear" w:color="000000" w:fill="F6DEE0"/>
            <w:vAlign w:val="center"/>
            <w:hideMark/>
          </w:tcPr>
          <w:p w14:paraId="7582BA71" w14:textId="77777777" w:rsidR="004C19E9" w:rsidRPr="004C19E9" w:rsidRDefault="004C19E9" w:rsidP="004C19E9">
            <w:pPr>
              <w:spacing w:after="0" w:line="240" w:lineRule="auto"/>
              <w:jc w:val="center"/>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3.5.1</w:t>
            </w:r>
          </w:p>
        </w:tc>
      </w:tr>
      <w:tr w:rsidR="001166FA" w:rsidRPr="004C19E9" w14:paraId="2438E9E1" w14:textId="77777777" w:rsidTr="001166FA">
        <w:trPr>
          <w:trHeight w:val="600"/>
        </w:trPr>
        <w:tc>
          <w:tcPr>
            <w:tcW w:w="145" w:type="pct"/>
            <w:vMerge/>
            <w:tcBorders>
              <w:top w:val="nil"/>
              <w:left w:val="single" w:sz="4" w:space="0" w:color="auto"/>
              <w:bottom w:val="single" w:sz="4" w:space="0" w:color="auto"/>
              <w:right w:val="single" w:sz="4" w:space="0" w:color="auto"/>
            </w:tcBorders>
            <w:vAlign w:val="center"/>
            <w:hideMark/>
          </w:tcPr>
          <w:p w14:paraId="736C2C19" w14:textId="77777777" w:rsidR="004C19E9" w:rsidRPr="004C19E9" w:rsidRDefault="004C19E9" w:rsidP="004C19E9">
            <w:pPr>
              <w:spacing w:after="0" w:line="240" w:lineRule="auto"/>
              <w:rPr>
                <w:rFonts w:ascii="Calibri" w:eastAsia="Times New Roman" w:hAnsi="Calibri" w:cs="Calibri"/>
                <w:b/>
                <w:bCs/>
                <w:color w:val="000000"/>
                <w:sz w:val="20"/>
                <w:szCs w:val="20"/>
                <w:lang w:val="en-US" w:eastAsia="en-US"/>
              </w:rPr>
            </w:pPr>
          </w:p>
        </w:tc>
        <w:tc>
          <w:tcPr>
            <w:tcW w:w="1142" w:type="pct"/>
            <w:vMerge/>
            <w:tcBorders>
              <w:top w:val="nil"/>
              <w:left w:val="single" w:sz="4" w:space="0" w:color="auto"/>
              <w:bottom w:val="single" w:sz="4" w:space="0" w:color="auto"/>
              <w:right w:val="single" w:sz="4" w:space="0" w:color="auto"/>
            </w:tcBorders>
            <w:vAlign w:val="center"/>
            <w:hideMark/>
          </w:tcPr>
          <w:p w14:paraId="17E4B990"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p>
        </w:tc>
        <w:tc>
          <w:tcPr>
            <w:tcW w:w="471" w:type="pct"/>
            <w:tcBorders>
              <w:top w:val="nil"/>
              <w:left w:val="nil"/>
              <w:bottom w:val="single" w:sz="4" w:space="0" w:color="auto"/>
              <w:right w:val="single" w:sz="4" w:space="0" w:color="auto"/>
            </w:tcBorders>
            <w:shd w:val="clear" w:color="000000" w:fill="F6DEE0"/>
            <w:noWrap/>
            <w:vAlign w:val="center"/>
            <w:hideMark/>
          </w:tcPr>
          <w:p w14:paraId="3CAF942B" w14:textId="77777777" w:rsidR="004C19E9" w:rsidRPr="004C19E9" w:rsidRDefault="004C19E9" w:rsidP="004C19E9">
            <w:pPr>
              <w:spacing w:after="0" w:line="240" w:lineRule="auto"/>
              <w:jc w:val="center"/>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Denominator</w:t>
            </w:r>
          </w:p>
        </w:tc>
        <w:tc>
          <w:tcPr>
            <w:tcW w:w="1199" w:type="pct"/>
            <w:tcBorders>
              <w:top w:val="nil"/>
              <w:left w:val="nil"/>
              <w:bottom w:val="single" w:sz="4" w:space="0" w:color="auto"/>
              <w:right w:val="single" w:sz="4" w:space="0" w:color="auto"/>
            </w:tcBorders>
            <w:shd w:val="clear" w:color="000000" w:fill="F6DEE0"/>
            <w:hideMark/>
          </w:tcPr>
          <w:p w14:paraId="36D3FAB5"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number of people with substance abuse disorder</w:t>
            </w:r>
          </w:p>
        </w:tc>
        <w:tc>
          <w:tcPr>
            <w:tcW w:w="733" w:type="pct"/>
            <w:gridSpan w:val="2"/>
            <w:tcBorders>
              <w:top w:val="nil"/>
              <w:left w:val="nil"/>
              <w:bottom w:val="single" w:sz="4" w:space="0" w:color="auto"/>
              <w:right w:val="single" w:sz="4" w:space="0" w:color="auto"/>
            </w:tcBorders>
            <w:shd w:val="clear" w:color="000000" w:fill="F6DEE0"/>
            <w:hideMark/>
          </w:tcPr>
          <w:p w14:paraId="7D45B75C" w14:textId="4275C2AB" w:rsidR="004C19E9" w:rsidRPr="004C19E9" w:rsidRDefault="004C19E9" w:rsidP="004C19E9">
            <w:pPr>
              <w:spacing w:after="0" w:line="240" w:lineRule="auto"/>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 xml:space="preserve">National Surveillance, Population-based surveys </w:t>
            </w:r>
          </w:p>
        </w:tc>
        <w:tc>
          <w:tcPr>
            <w:tcW w:w="364" w:type="pct"/>
            <w:vMerge/>
            <w:tcBorders>
              <w:top w:val="nil"/>
              <w:left w:val="single" w:sz="4" w:space="0" w:color="auto"/>
              <w:bottom w:val="single" w:sz="4" w:space="0" w:color="auto"/>
              <w:right w:val="single" w:sz="4" w:space="0" w:color="auto"/>
            </w:tcBorders>
            <w:vAlign w:val="center"/>
            <w:hideMark/>
          </w:tcPr>
          <w:p w14:paraId="76983ACE"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p>
        </w:tc>
        <w:tc>
          <w:tcPr>
            <w:tcW w:w="300" w:type="pct"/>
            <w:vMerge/>
            <w:tcBorders>
              <w:top w:val="nil"/>
              <w:left w:val="single" w:sz="4" w:space="0" w:color="auto"/>
              <w:bottom w:val="single" w:sz="4" w:space="0" w:color="auto"/>
              <w:right w:val="single" w:sz="4" w:space="0" w:color="auto"/>
            </w:tcBorders>
            <w:vAlign w:val="center"/>
            <w:hideMark/>
          </w:tcPr>
          <w:p w14:paraId="4914F0BD"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p>
        </w:tc>
        <w:tc>
          <w:tcPr>
            <w:tcW w:w="350" w:type="pct"/>
            <w:vMerge/>
            <w:tcBorders>
              <w:top w:val="nil"/>
              <w:left w:val="single" w:sz="4" w:space="0" w:color="auto"/>
              <w:bottom w:val="single" w:sz="4" w:space="0" w:color="auto"/>
              <w:right w:val="single" w:sz="4" w:space="0" w:color="auto"/>
            </w:tcBorders>
            <w:vAlign w:val="center"/>
            <w:hideMark/>
          </w:tcPr>
          <w:p w14:paraId="43645EE6"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p>
        </w:tc>
        <w:tc>
          <w:tcPr>
            <w:tcW w:w="296" w:type="pct"/>
            <w:vMerge/>
            <w:tcBorders>
              <w:top w:val="nil"/>
              <w:left w:val="single" w:sz="4" w:space="0" w:color="auto"/>
              <w:bottom w:val="single" w:sz="4" w:space="0" w:color="auto"/>
              <w:right w:val="single" w:sz="4" w:space="0" w:color="auto"/>
            </w:tcBorders>
            <w:vAlign w:val="center"/>
            <w:hideMark/>
          </w:tcPr>
          <w:p w14:paraId="7C996808"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p>
        </w:tc>
      </w:tr>
      <w:tr w:rsidR="001166FA" w:rsidRPr="004C19E9" w14:paraId="152B8EB1" w14:textId="77777777" w:rsidTr="001166FA">
        <w:trPr>
          <w:trHeight w:val="915"/>
        </w:trPr>
        <w:tc>
          <w:tcPr>
            <w:tcW w:w="145" w:type="pct"/>
            <w:vMerge w:val="restart"/>
            <w:tcBorders>
              <w:top w:val="nil"/>
              <w:left w:val="single" w:sz="4" w:space="0" w:color="auto"/>
              <w:bottom w:val="single" w:sz="4" w:space="0" w:color="auto"/>
              <w:right w:val="single" w:sz="4" w:space="0" w:color="auto"/>
            </w:tcBorders>
            <w:shd w:val="clear" w:color="000000" w:fill="F6DEE0"/>
            <w:noWrap/>
            <w:vAlign w:val="center"/>
            <w:hideMark/>
          </w:tcPr>
          <w:p w14:paraId="367110AA" w14:textId="77777777" w:rsidR="004C19E9" w:rsidRPr="004C19E9" w:rsidRDefault="004C19E9" w:rsidP="004C19E9">
            <w:pPr>
              <w:spacing w:after="0" w:line="240" w:lineRule="auto"/>
              <w:jc w:val="center"/>
              <w:rPr>
                <w:rFonts w:ascii="Calibri" w:eastAsia="Times New Roman" w:hAnsi="Calibri" w:cs="Calibri"/>
                <w:b/>
                <w:bCs/>
                <w:color w:val="000000"/>
                <w:sz w:val="20"/>
                <w:szCs w:val="20"/>
                <w:lang w:val="en-US" w:eastAsia="en-US"/>
              </w:rPr>
            </w:pPr>
            <w:r w:rsidRPr="004C19E9">
              <w:rPr>
                <w:rFonts w:ascii="Calibri" w:eastAsia="Times New Roman" w:hAnsi="Calibri" w:cs="Calibri"/>
                <w:b/>
                <w:bCs/>
                <w:color w:val="000000"/>
                <w:sz w:val="20"/>
                <w:szCs w:val="20"/>
                <w:lang w:val="en-US" w:eastAsia="en-US"/>
              </w:rPr>
              <w:t>35</w:t>
            </w:r>
          </w:p>
        </w:tc>
        <w:tc>
          <w:tcPr>
            <w:tcW w:w="1142" w:type="pct"/>
            <w:vMerge w:val="restart"/>
            <w:tcBorders>
              <w:top w:val="nil"/>
              <w:left w:val="single" w:sz="4" w:space="0" w:color="auto"/>
              <w:bottom w:val="single" w:sz="4" w:space="0" w:color="auto"/>
              <w:right w:val="single" w:sz="4" w:space="0" w:color="auto"/>
            </w:tcBorders>
            <w:shd w:val="clear" w:color="000000" w:fill="F6DEE0"/>
            <w:vAlign w:val="center"/>
            <w:hideMark/>
          </w:tcPr>
          <w:p w14:paraId="2A991EE1"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EC prehospital emergency care services – proxied using the proportion of adults and children dying of acute injury in hospital among all acute injury deaths.</w:t>
            </w:r>
          </w:p>
        </w:tc>
        <w:tc>
          <w:tcPr>
            <w:tcW w:w="471" w:type="pct"/>
            <w:tcBorders>
              <w:top w:val="nil"/>
              <w:left w:val="nil"/>
              <w:bottom w:val="single" w:sz="4" w:space="0" w:color="auto"/>
              <w:right w:val="single" w:sz="4" w:space="0" w:color="auto"/>
            </w:tcBorders>
            <w:shd w:val="clear" w:color="000000" w:fill="F6DEE0"/>
            <w:noWrap/>
            <w:vAlign w:val="center"/>
            <w:hideMark/>
          </w:tcPr>
          <w:p w14:paraId="4F425E67" w14:textId="77777777" w:rsidR="004C19E9" w:rsidRPr="004C19E9" w:rsidRDefault="004C19E9" w:rsidP="004C19E9">
            <w:pPr>
              <w:spacing w:after="0" w:line="240" w:lineRule="auto"/>
              <w:jc w:val="center"/>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Numerator</w:t>
            </w:r>
          </w:p>
        </w:tc>
        <w:tc>
          <w:tcPr>
            <w:tcW w:w="1199" w:type="pct"/>
            <w:tcBorders>
              <w:top w:val="nil"/>
              <w:left w:val="nil"/>
              <w:bottom w:val="single" w:sz="4" w:space="0" w:color="auto"/>
              <w:right w:val="single" w:sz="4" w:space="0" w:color="auto"/>
            </w:tcBorders>
            <w:shd w:val="clear" w:color="000000" w:fill="F6DEE0"/>
            <w:hideMark/>
          </w:tcPr>
          <w:p w14:paraId="402C65E4"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number of hospital-based deaths due to acute injury (excludes “brought dead” or “dead on arrival”)</w:t>
            </w:r>
          </w:p>
        </w:tc>
        <w:tc>
          <w:tcPr>
            <w:tcW w:w="733" w:type="pct"/>
            <w:gridSpan w:val="2"/>
            <w:tcBorders>
              <w:top w:val="nil"/>
              <w:left w:val="nil"/>
              <w:bottom w:val="single" w:sz="4" w:space="0" w:color="auto"/>
              <w:right w:val="single" w:sz="4" w:space="0" w:color="auto"/>
            </w:tcBorders>
            <w:shd w:val="clear" w:color="000000" w:fill="F6DEE0"/>
            <w:hideMark/>
          </w:tcPr>
          <w:p w14:paraId="024DB8D1" w14:textId="098F0487" w:rsidR="004C19E9" w:rsidRPr="004C19E9" w:rsidRDefault="004C19E9" w:rsidP="004C19E9">
            <w:pPr>
              <w:spacing w:after="0" w:line="240" w:lineRule="auto"/>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CRVS, hospital records</w:t>
            </w:r>
          </w:p>
        </w:tc>
        <w:tc>
          <w:tcPr>
            <w:tcW w:w="364" w:type="pct"/>
            <w:vMerge w:val="restart"/>
            <w:tcBorders>
              <w:top w:val="nil"/>
              <w:left w:val="single" w:sz="4" w:space="0" w:color="auto"/>
              <w:bottom w:val="single" w:sz="4" w:space="0" w:color="auto"/>
              <w:right w:val="single" w:sz="4" w:space="0" w:color="auto"/>
            </w:tcBorders>
            <w:shd w:val="clear" w:color="000000" w:fill="F6DEE0"/>
            <w:vAlign w:val="center"/>
            <w:hideMark/>
          </w:tcPr>
          <w:p w14:paraId="7AB7ED5C" w14:textId="77777777" w:rsidR="004C19E9" w:rsidRPr="004C19E9" w:rsidRDefault="004C19E9" w:rsidP="004C19E9">
            <w:pPr>
              <w:spacing w:after="0" w:line="240" w:lineRule="auto"/>
              <w:jc w:val="center"/>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 </w:t>
            </w:r>
          </w:p>
        </w:tc>
        <w:tc>
          <w:tcPr>
            <w:tcW w:w="300" w:type="pct"/>
            <w:vMerge w:val="restart"/>
            <w:tcBorders>
              <w:top w:val="nil"/>
              <w:left w:val="single" w:sz="4" w:space="0" w:color="auto"/>
              <w:bottom w:val="single" w:sz="4" w:space="0" w:color="auto"/>
              <w:right w:val="single" w:sz="4" w:space="0" w:color="auto"/>
            </w:tcBorders>
            <w:shd w:val="clear" w:color="000000" w:fill="F6DEE0"/>
            <w:vAlign w:val="center"/>
            <w:hideMark/>
          </w:tcPr>
          <w:p w14:paraId="7D19CE8B" w14:textId="77777777" w:rsidR="004C19E9" w:rsidRPr="004C19E9" w:rsidRDefault="004C19E9" w:rsidP="004C19E9">
            <w:pPr>
              <w:spacing w:after="0" w:line="240" w:lineRule="auto"/>
              <w:jc w:val="center"/>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 </w:t>
            </w:r>
          </w:p>
        </w:tc>
        <w:tc>
          <w:tcPr>
            <w:tcW w:w="350" w:type="pct"/>
            <w:vMerge w:val="restart"/>
            <w:tcBorders>
              <w:top w:val="nil"/>
              <w:left w:val="single" w:sz="4" w:space="0" w:color="auto"/>
              <w:bottom w:val="single" w:sz="4" w:space="0" w:color="auto"/>
              <w:right w:val="single" w:sz="4" w:space="0" w:color="auto"/>
            </w:tcBorders>
            <w:shd w:val="clear" w:color="000000" w:fill="F6DEE0"/>
            <w:vAlign w:val="center"/>
            <w:hideMark/>
          </w:tcPr>
          <w:p w14:paraId="62159F75" w14:textId="77777777" w:rsidR="004C19E9" w:rsidRPr="004C19E9" w:rsidRDefault="004C19E9" w:rsidP="004C19E9">
            <w:pPr>
              <w:spacing w:after="0" w:line="240" w:lineRule="auto"/>
              <w:jc w:val="center"/>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 </w:t>
            </w:r>
          </w:p>
        </w:tc>
        <w:tc>
          <w:tcPr>
            <w:tcW w:w="296" w:type="pct"/>
            <w:vMerge w:val="restart"/>
            <w:tcBorders>
              <w:top w:val="nil"/>
              <w:left w:val="single" w:sz="4" w:space="0" w:color="auto"/>
              <w:bottom w:val="single" w:sz="4" w:space="0" w:color="auto"/>
              <w:right w:val="single" w:sz="4" w:space="0" w:color="auto"/>
            </w:tcBorders>
            <w:shd w:val="clear" w:color="000000" w:fill="F6DEE0"/>
            <w:noWrap/>
            <w:vAlign w:val="center"/>
            <w:hideMark/>
          </w:tcPr>
          <w:p w14:paraId="72933A2C" w14:textId="77777777" w:rsidR="004C19E9" w:rsidRPr="004C19E9" w:rsidRDefault="004C19E9" w:rsidP="004C19E9">
            <w:pPr>
              <w:spacing w:after="0" w:line="240" w:lineRule="auto"/>
              <w:jc w:val="center"/>
              <w:rPr>
                <w:rFonts w:ascii="Calibri" w:eastAsia="Times New Roman" w:hAnsi="Calibri" w:cs="Calibri"/>
                <w:color w:val="C00000"/>
                <w:sz w:val="20"/>
                <w:szCs w:val="20"/>
                <w:lang w:val="en-US" w:eastAsia="en-US"/>
              </w:rPr>
            </w:pPr>
            <w:r w:rsidRPr="004C19E9">
              <w:rPr>
                <w:rFonts w:ascii="Calibri" w:eastAsia="Times New Roman" w:hAnsi="Calibri" w:cs="Calibri"/>
                <w:color w:val="C00000"/>
                <w:sz w:val="20"/>
                <w:szCs w:val="20"/>
                <w:lang w:val="en-US" w:eastAsia="en-US"/>
              </w:rPr>
              <w:t> </w:t>
            </w:r>
          </w:p>
        </w:tc>
      </w:tr>
      <w:tr w:rsidR="001166FA" w:rsidRPr="004C19E9" w14:paraId="1641792A" w14:textId="77777777" w:rsidTr="001166FA">
        <w:trPr>
          <w:trHeight w:val="585"/>
        </w:trPr>
        <w:tc>
          <w:tcPr>
            <w:tcW w:w="145" w:type="pct"/>
            <w:vMerge/>
            <w:tcBorders>
              <w:top w:val="nil"/>
              <w:left w:val="single" w:sz="4" w:space="0" w:color="auto"/>
              <w:bottom w:val="single" w:sz="4" w:space="0" w:color="auto"/>
              <w:right w:val="single" w:sz="4" w:space="0" w:color="auto"/>
            </w:tcBorders>
            <w:vAlign w:val="center"/>
            <w:hideMark/>
          </w:tcPr>
          <w:p w14:paraId="430DD492" w14:textId="77777777" w:rsidR="004C19E9" w:rsidRPr="004C19E9" w:rsidRDefault="004C19E9" w:rsidP="004C19E9">
            <w:pPr>
              <w:spacing w:after="0" w:line="240" w:lineRule="auto"/>
              <w:rPr>
                <w:rFonts w:ascii="Calibri" w:eastAsia="Times New Roman" w:hAnsi="Calibri" w:cs="Calibri"/>
                <w:b/>
                <w:bCs/>
                <w:color w:val="000000"/>
                <w:sz w:val="20"/>
                <w:szCs w:val="20"/>
                <w:lang w:val="en-US" w:eastAsia="en-US"/>
              </w:rPr>
            </w:pPr>
          </w:p>
        </w:tc>
        <w:tc>
          <w:tcPr>
            <w:tcW w:w="1142" w:type="pct"/>
            <w:vMerge/>
            <w:tcBorders>
              <w:top w:val="nil"/>
              <w:left w:val="single" w:sz="4" w:space="0" w:color="auto"/>
              <w:bottom w:val="single" w:sz="4" w:space="0" w:color="auto"/>
              <w:right w:val="single" w:sz="4" w:space="0" w:color="auto"/>
            </w:tcBorders>
            <w:vAlign w:val="center"/>
            <w:hideMark/>
          </w:tcPr>
          <w:p w14:paraId="04A0CEB1"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p>
        </w:tc>
        <w:tc>
          <w:tcPr>
            <w:tcW w:w="471" w:type="pct"/>
            <w:tcBorders>
              <w:top w:val="nil"/>
              <w:left w:val="nil"/>
              <w:bottom w:val="single" w:sz="4" w:space="0" w:color="auto"/>
              <w:right w:val="single" w:sz="4" w:space="0" w:color="auto"/>
            </w:tcBorders>
            <w:shd w:val="clear" w:color="000000" w:fill="F6DEE0"/>
            <w:noWrap/>
            <w:vAlign w:val="center"/>
            <w:hideMark/>
          </w:tcPr>
          <w:p w14:paraId="28261420" w14:textId="77777777" w:rsidR="004C19E9" w:rsidRPr="004C19E9" w:rsidRDefault="004C19E9" w:rsidP="004C19E9">
            <w:pPr>
              <w:spacing w:after="0" w:line="240" w:lineRule="auto"/>
              <w:jc w:val="center"/>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Denominator</w:t>
            </w:r>
          </w:p>
        </w:tc>
        <w:tc>
          <w:tcPr>
            <w:tcW w:w="1199" w:type="pct"/>
            <w:tcBorders>
              <w:top w:val="nil"/>
              <w:left w:val="nil"/>
              <w:bottom w:val="single" w:sz="4" w:space="0" w:color="auto"/>
              <w:right w:val="single" w:sz="4" w:space="0" w:color="auto"/>
            </w:tcBorders>
            <w:shd w:val="clear" w:color="000000" w:fill="F6DEE0"/>
            <w:hideMark/>
          </w:tcPr>
          <w:p w14:paraId="57DECF76"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 xml:space="preserve">number of all acute injury deaths </w:t>
            </w:r>
          </w:p>
        </w:tc>
        <w:tc>
          <w:tcPr>
            <w:tcW w:w="733" w:type="pct"/>
            <w:gridSpan w:val="2"/>
            <w:tcBorders>
              <w:top w:val="nil"/>
              <w:left w:val="nil"/>
              <w:bottom w:val="single" w:sz="4" w:space="0" w:color="auto"/>
              <w:right w:val="single" w:sz="4" w:space="0" w:color="auto"/>
            </w:tcBorders>
            <w:shd w:val="clear" w:color="000000" w:fill="F6DEE0"/>
            <w:hideMark/>
          </w:tcPr>
          <w:p w14:paraId="19C9D8C8" w14:textId="6CC618B1" w:rsidR="004C19E9" w:rsidRPr="004C19E9" w:rsidRDefault="004C19E9" w:rsidP="004C19E9">
            <w:pPr>
              <w:spacing w:after="0" w:line="240" w:lineRule="auto"/>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CRVS, hospital records</w:t>
            </w:r>
          </w:p>
        </w:tc>
        <w:tc>
          <w:tcPr>
            <w:tcW w:w="364" w:type="pct"/>
            <w:vMerge/>
            <w:tcBorders>
              <w:top w:val="nil"/>
              <w:left w:val="single" w:sz="4" w:space="0" w:color="auto"/>
              <w:bottom w:val="single" w:sz="4" w:space="0" w:color="auto"/>
              <w:right w:val="single" w:sz="4" w:space="0" w:color="auto"/>
            </w:tcBorders>
            <w:vAlign w:val="center"/>
            <w:hideMark/>
          </w:tcPr>
          <w:p w14:paraId="6F8E2E3F"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p>
        </w:tc>
        <w:tc>
          <w:tcPr>
            <w:tcW w:w="300" w:type="pct"/>
            <w:vMerge/>
            <w:tcBorders>
              <w:top w:val="nil"/>
              <w:left w:val="single" w:sz="4" w:space="0" w:color="auto"/>
              <w:bottom w:val="single" w:sz="4" w:space="0" w:color="auto"/>
              <w:right w:val="single" w:sz="4" w:space="0" w:color="auto"/>
            </w:tcBorders>
            <w:vAlign w:val="center"/>
            <w:hideMark/>
          </w:tcPr>
          <w:p w14:paraId="3C910C91"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p>
        </w:tc>
        <w:tc>
          <w:tcPr>
            <w:tcW w:w="350" w:type="pct"/>
            <w:vMerge/>
            <w:tcBorders>
              <w:top w:val="nil"/>
              <w:left w:val="single" w:sz="4" w:space="0" w:color="auto"/>
              <w:bottom w:val="single" w:sz="4" w:space="0" w:color="auto"/>
              <w:right w:val="single" w:sz="4" w:space="0" w:color="auto"/>
            </w:tcBorders>
            <w:vAlign w:val="center"/>
            <w:hideMark/>
          </w:tcPr>
          <w:p w14:paraId="239BDCE3"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p>
        </w:tc>
        <w:tc>
          <w:tcPr>
            <w:tcW w:w="296" w:type="pct"/>
            <w:vMerge/>
            <w:tcBorders>
              <w:top w:val="nil"/>
              <w:left w:val="single" w:sz="4" w:space="0" w:color="auto"/>
              <w:bottom w:val="single" w:sz="4" w:space="0" w:color="auto"/>
              <w:right w:val="single" w:sz="4" w:space="0" w:color="auto"/>
            </w:tcBorders>
            <w:vAlign w:val="center"/>
            <w:hideMark/>
          </w:tcPr>
          <w:p w14:paraId="2D75AB83" w14:textId="77777777" w:rsidR="004C19E9" w:rsidRPr="004C19E9" w:rsidRDefault="004C19E9" w:rsidP="004C19E9">
            <w:pPr>
              <w:spacing w:after="0" w:line="240" w:lineRule="auto"/>
              <w:rPr>
                <w:rFonts w:ascii="Calibri" w:eastAsia="Times New Roman" w:hAnsi="Calibri" w:cs="Calibri"/>
                <w:color w:val="C00000"/>
                <w:sz w:val="20"/>
                <w:szCs w:val="20"/>
                <w:lang w:val="en-US" w:eastAsia="en-US"/>
              </w:rPr>
            </w:pPr>
          </w:p>
        </w:tc>
      </w:tr>
      <w:tr w:rsidR="004C19E9" w:rsidRPr="004C19E9" w14:paraId="5A4C5BC9" w14:textId="77777777" w:rsidTr="002A2174">
        <w:trPr>
          <w:trHeight w:val="345"/>
        </w:trPr>
        <w:tc>
          <w:tcPr>
            <w:tcW w:w="5000" w:type="pct"/>
            <w:gridSpan w:val="10"/>
            <w:tcBorders>
              <w:top w:val="single" w:sz="4" w:space="0" w:color="auto"/>
              <w:left w:val="single" w:sz="4" w:space="0" w:color="auto"/>
              <w:bottom w:val="single" w:sz="4" w:space="0" w:color="auto"/>
              <w:right w:val="single" w:sz="4" w:space="0" w:color="auto"/>
            </w:tcBorders>
            <w:shd w:val="clear" w:color="000000" w:fill="1F4E78"/>
            <w:noWrap/>
            <w:vAlign w:val="center"/>
            <w:hideMark/>
          </w:tcPr>
          <w:p w14:paraId="68D1F90D" w14:textId="77777777" w:rsidR="004C19E9" w:rsidRPr="004C19E9" w:rsidRDefault="004C19E9" w:rsidP="004C19E9">
            <w:pPr>
              <w:spacing w:after="0" w:line="240" w:lineRule="auto"/>
              <w:rPr>
                <w:rFonts w:ascii="Calibri" w:eastAsia="Times New Roman" w:hAnsi="Calibri" w:cs="Calibri"/>
                <w:b/>
                <w:bCs/>
                <w:color w:val="FFFFFF"/>
                <w:sz w:val="20"/>
                <w:szCs w:val="20"/>
                <w:lang w:val="en-US" w:eastAsia="en-US"/>
              </w:rPr>
            </w:pPr>
            <w:r w:rsidRPr="004C19E9">
              <w:rPr>
                <w:rFonts w:ascii="Calibri" w:eastAsia="Times New Roman" w:hAnsi="Calibri" w:cs="Calibri"/>
                <w:b/>
                <w:bCs/>
                <w:color w:val="FFFFFF"/>
                <w:sz w:val="20"/>
                <w:szCs w:val="20"/>
                <w:lang w:val="en-US" w:eastAsia="en-US"/>
              </w:rPr>
              <w:t>Rehabilitation</w:t>
            </w:r>
          </w:p>
        </w:tc>
      </w:tr>
      <w:tr w:rsidR="001166FA" w:rsidRPr="004C19E9" w14:paraId="063FD1F5" w14:textId="77777777" w:rsidTr="001166FA">
        <w:trPr>
          <w:trHeight w:val="900"/>
        </w:trPr>
        <w:tc>
          <w:tcPr>
            <w:tcW w:w="145" w:type="pct"/>
            <w:vMerge w:val="restart"/>
            <w:tcBorders>
              <w:top w:val="nil"/>
              <w:left w:val="single" w:sz="4" w:space="0" w:color="auto"/>
              <w:bottom w:val="single" w:sz="4" w:space="0" w:color="auto"/>
              <w:right w:val="single" w:sz="4" w:space="0" w:color="auto"/>
            </w:tcBorders>
            <w:shd w:val="clear" w:color="000000" w:fill="F6DEE0"/>
            <w:noWrap/>
            <w:vAlign w:val="center"/>
            <w:hideMark/>
          </w:tcPr>
          <w:p w14:paraId="3E6A15B9" w14:textId="77777777" w:rsidR="004C19E9" w:rsidRPr="004C19E9" w:rsidRDefault="004C19E9" w:rsidP="004C19E9">
            <w:pPr>
              <w:spacing w:after="0" w:line="240" w:lineRule="auto"/>
              <w:jc w:val="center"/>
              <w:rPr>
                <w:rFonts w:ascii="Calibri" w:eastAsia="Times New Roman" w:hAnsi="Calibri" w:cs="Calibri"/>
                <w:b/>
                <w:bCs/>
                <w:color w:val="000000"/>
                <w:sz w:val="20"/>
                <w:szCs w:val="20"/>
                <w:lang w:val="en-US" w:eastAsia="en-US"/>
              </w:rPr>
            </w:pPr>
            <w:r w:rsidRPr="004C19E9">
              <w:rPr>
                <w:rFonts w:ascii="Calibri" w:eastAsia="Times New Roman" w:hAnsi="Calibri" w:cs="Calibri"/>
                <w:b/>
                <w:bCs/>
                <w:color w:val="000000"/>
                <w:sz w:val="20"/>
                <w:szCs w:val="20"/>
                <w:lang w:val="en-US" w:eastAsia="en-US"/>
              </w:rPr>
              <w:t>36</w:t>
            </w:r>
          </w:p>
        </w:tc>
        <w:tc>
          <w:tcPr>
            <w:tcW w:w="1142" w:type="pct"/>
            <w:vMerge w:val="restart"/>
            <w:tcBorders>
              <w:top w:val="nil"/>
              <w:left w:val="single" w:sz="4" w:space="0" w:color="auto"/>
              <w:bottom w:val="single" w:sz="4" w:space="0" w:color="auto"/>
              <w:right w:val="single" w:sz="4" w:space="0" w:color="auto"/>
            </w:tcBorders>
            <w:shd w:val="clear" w:color="000000" w:fill="F6DEE0"/>
            <w:vAlign w:val="center"/>
            <w:hideMark/>
          </w:tcPr>
          <w:p w14:paraId="06D01CAC"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EC rehabilitation after complex injury – proxied using the proportion of individuals with complex injuries who receive multiple modes of rehabilitation</w:t>
            </w:r>
          </w:p>
        </w:tc>
        <w:tc>
          <w:tcPr>
            <w:tcW w:w="471" w:type="pct"/>
            <w:tcBorders>
              <w:top w:val="nil"/>
              <w:left w:val="nil"/>
              <w:bottom w:val="single" w:sz="4" w:space="0" w:color="auto"/>
              <w:right w:val="single" w:sz="4" w:space="0" w:color="auto"/>
            </w:tcBorders>
            <w:shd w:val="clear" w:color="000000" w:fill="F6DEE0"/>
            <w:noWrap/>
            <w:vAlign w:val="center"/>
            <w:hideMark/>
          </w:tcPr>
          <w:p w14:paraId="78E8AA61" w14:textId="77777777" w:rsidR="004C19E9" w:rsidRPr="004C19E9" w:rsidRDefault="004C19E9" w:rsidP="004C19E9">
            <w:pPr>
              <w:spacing w:after="0" w:line="240" w:lineRule="auto"/>
              <w:jc w:val="center"/>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Numerator</w:t>
            </w:r>
          </w:p>
        </w:tc>
        <w:tc>
          <w:tcPr>
            <w:tcW w:w="1199" w:type="pct"/>
            <w:tcBorders>
              <w:top w:val="nil"/>
              <w:left w:val="nil"/>
              <w:bottom w:val="single" w:sz="4" w:space="0" w:color="auto"/>
              <w:right w:val="single" w:sz="4" w:space="0" w:color="auto"/>
            </w:tcBorders>
            <w:shd w:val="clear" w:color="000000" w:fill="F6DEE0"/>
            <w:vAlign w:val="bottom"/>
            <w:hideMark/>
          </w:tcPr>
          <w:p w14:paraId="10DD3869"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number of people with complex needs after injury who accessed multidisciplinary rehabilitation</w:t>
            </w:r>
          </w:p>
        </w:tc>
        <w:tc>
          <w:tcPr>
            <w:tcW w:w="727" w:type="pct"/>
            <w:tcBorders>
              <w:top w:val="nil"/>
              <w:left w:val="nil"/>
              <w:bottom w:val="single" w:sz="4" w:space="0" w:color="auto"/>
              <w:right w:val="single" w:sz="4" w:space="0" w:color="auto"/>
            </w:tcBorders>
            <w:shd w:val="clear" w:color="000000" w:fill="F6DEE0"/>
            <w:hideMark/>
          </w:tcPr>
          <w:p w14:paraId="11C9E0A6" w14:textId="6522324C" w:rsidR="004C19E9" w:rsidRPr="004C19E9" w:rsidRDefault="004C19E9" w:rsidP="004C19E9">
            <w:pPr>
              <w:spacing w:after="0" w:line="240" w:lineRule="auto"/>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 xml:space="preserve">Facility survey, National Surveillance, Population-based surveys </w:t>
            </w:r>
          </w:p>
        </w:tc>
        <w:tc>
          <w:tcPr>
            <w:tcW w:w="370" w:type="pct"/>
            <w:gridSpan w:val="2"/>
            <w:vMerge w:val="restart"/>
            <w:tcBorders>
              <w:top w:val="nil"/>
              <w:left w:val="single" w:sz="4" w:space="0" w:color="auto"/>
              <w:bottom w:val="single" w:sz="4" w:space="0" w:color="auto"/>
              <w:right w:val="single" w:sz="4" w:space="0" w:color="auto"/>
            </w:tcBorders>
            <w:shd w:val="clear" w:color="000000" w:fill="F6DEE0"/>
            <w:vAlign w:val="center"/>
            <w:hideMark/>
          </w:tcPr>
          <w:p w14:paraId="08BC053E" w14:textId="77777777" w:rsidR="004C19E9" w:rsidRPr="004C19E9" w:rsidRDefault="004C19E9" w:rsidP="004C19E9">
            <w:pPr>
              <w:spacing w:after="0" w:line="240" w:lineRule="auto"/>
              <w:jc w:val="center"/>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 </w:t>
            </w:r>
          </w:p>
        </w:tc>
        <w:tc>
          <w:tcPr>
            <w:tcW w:w="300" w:type="pct"/>
            <w:vMerge w:val="restart"/>
            <w:tcBorders>
              <w:top w:val="nil"/>
              <w:left w:val="single" w:sz="4" w:space="0" w:color="auto"/>
              <w:bottom w:val="single" w:sz="4" w:space="0" w:color="auto"/>
              <w:right w:val="single" w:sz="4" w:space="0" w:color="auto"/>
            </w:tcBorders>
            <w:shd w:val="clear" w:color="000000" w:fill="F6DEE0"/>
            <w:vAlign w:val="center"/>
            <w:hideMark/>
          </w:tcPr>
          <w:p w14:paraId="3021D332" w14:textId="77777777" w:rsidR="004C19E9" w:rsidRPr="004C19E9" w:rsidRDefault="004C19E9" w:rsidP="004C19E9">
            <w:pPr>
              <w:spacing w:after="0" w:line="240" w:lineRule="auto"/>
              <w:jc w:val="center"/>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 </w:t>
            </w:r>
          </w:p>
        </w:tc>
        <w:tc>
          <w:tcPr>
            <w:tcW w:w="350" w:type="pct"/>
            <w:vMerge w:val="restart"/>
            <w:tcBorders>
              <w:top w:val="nil"/>
              <w:left w:val="single" w:sz="4" w:space="0" w:color="auto"/>
              <w:bottom w:val="single" w:sz="4" w:space="0" w:color="auto"/>
              <w:right w:val="single" w:sz="4" w:space="0" w:color="auto"/>
            </w:tcBorders>
            <w:shd w:val="clear" w:color="000000" w:fill="F6DEE0"/>
            <w:vAlign w:val="center"/>
            <w:hideMark/>
          </w:tcPr>
          <w:p w14:paraId="1CAFFD6F" w14:textId="77777777" w:rsidR="004C19E9" w:rsidRPr="004C19E9" w:rsidRDefault="004C19E9" w:rsidP="004C19E9">
            <w:pPr>
              <w:spacing w:after="0" w:line="240" w:lineRule="auto"/>
              <w:jc w:val="center"/>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 </w:t>
            </w:r>
          </w:p>
        </w:tc>
        <w:tc>
          <w:tcPr>
            <w:tcW w:w="296" w:type="pct"/>
            <w:vMerge w:val="restart"/>
            <w:tcBorders>
              <w:top w:val="nil"/>
              <w:left w:val="single" w:sz="4" w:space="0" w:color="auto"/>
              <w:bottom w:val="single" w:sz="4" w:space="0" w:color="auto"/>
              <w:right w:val="single" w:sz="4" w:space="0" w:color="auto"/>
            </w:tcBorders>
            <w:shd w:val="clear" w:color="000000" w:fill="F6DEE0"/>
            <w:vAlign w:val="center"/>
            <w:hideMark/>
          </w:tcPr>
          <w:p w14:paraId="269A3DC1" w14:textId="77777777" w:rsidR="004C19E9" w:rsidRPr="004C19E9" w:rsidRDefault="004C19E9" w:rsidP="004C19E9">
            <w:pPr>
              <w:spacing w:after="0" w:line="240" w:lineRule="auto"/>
              <w:jc w:val="center"/>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 </w:t>
            </w:r>
          </w:p>
        </w:tc>
      </w:tr>
      <w:tr w:rsidR="001166FA" w:rsidRPr="004C19E9" w14:paraId="26EE5B8A" w14:textId="77777777" w:rsidTr="001166FA">
        <w:trPr>
          <w:trHeight w:val="930"/>
        </w:trPr>
        <w:tc>
          <w:tcPr>
            <w:tcW w:w="145" w:type="pct"/>
            <w:vMerge/>
            <w:tcBorders>
              <w:top w:val="nil"/>
              <w:left w:val="single" w:sz="4" w:space="0" w:color="auto"/>
              <w:bottom w:val="single" w:sz="4" w:space="0" w:color="auto"/>
              <w:right w:val="single" w:sz="4" w:space="0" w:color="auto"/>
            </w:tcBorders>
            <w:vAlign w:val="center"/>
            <w:hideMark/>
          </w:tcPr>
          <w:p w14:paraId="59666A5C" w14:textId="77777777" w:rsidR="004C19E9" w:rsidRPr="004C19E9" w:rsidRDefault="004C19E9" w:rsidP="004C19E9">
            <w:pPr>
              <w:spacing w:after="0" w:line="240" w:lineRule="auto"/>
              <w:rPr>
                <w:rFonts w:ascii="Calibri" w:eastAsia="Times New Roman" w:hAnsi="Calibri" w:cs="Calibri"/>
                <w:b/>
                <w:bCs/>
                <w:color w:val="000000"/>
                <w:sz w:val="20"/>
                <w:szCs w:val="20"/>
                <w:lang w:val="en-US" w:eastAsia="en-US"/>
              </w:rPr>
            </w:pPr>
          </w:p>
        </w:tc>
        <w:tc>
          <w:tcPr>
            <w:tcW w:w="1142" w:type="pct"/>
            <w:vMerge/>
            <w:tcBorders>
              <w:top w:val="nil"/>
              <w:left w:val="single" w:sz="4" w:space="0" w:color="auto"/>
              <w:bottom w:val="single" w:sz="4" w:space="0" w:color="auto"/>
              <w:right w:val="single" w:sz="4" w:space="0" w:color="auto"/>
            </w:tcBorders>
            <w:vAlign w:val="center"/>
            <w:hideMark/>
          </w:tcPr>
          <w:p w14:paraId="490B3AC4"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p>
        </w:tc>
        <w:tc>
          <w:tcPr>
            <w:tcW w:w="471" w:type="pct"/>
            <w:tcBorders>
              <w:top w:val="nil"/>
              <w:left w:val="nil"/>
              <w:bottom w:val="single" w:sz="4" w:space="0" w:color="auto"/>
              <w:right w:val="single" w:sz="4" w:space="0" w:color="auto"/>
            </w:tcBorders>
            <w:shd w:val="clear" w:color="000000" w:fill="F6DEE0"/>
            <w:noWrap/>
            <w:vAlign w:val="center"/>
            <w:hideMark/>
          </w:tcPr>
          <w:p w14:paraId="4EDA47E5" w14:textId="77777777" w:rsidR="004C19E9" w:rsidRPr="004C19E9" w:rsidRDefault="004C19E9" w:rsidP="004C19E9">
            <w:pPr>
              <w:spacing w:after="0" w:line="240" w:lineRule="auto"/>
              <w:jc w:val="center"/>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Denominator</w:t>
            </w:r>
          </w:p>
        </w:tc>
        <w:tc>
          <w:tcPr>
            <w:tcW w:w="1199" w:type="pct"/>
            <w:tcBorders>
              <w:top w:val="nil"/>
              <w:left w:val="nil"/>
              <w:bottom w:val="single" w:sz="4" w:space="0" w:color="auto"/>
              <w:right w:val="single" w:sz="4" w:space="0" w:color="auto"/>
            </w:tcBorders>
            <w:shd w:val="clear" w:color="000000" w:fill="F6DEE0"/>
            <w:vAlign w:val="center"/>
            <w:hideMark/>
          </w:tcPr>
          <w:p w14:paraId="2704FC1A"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total number of people with complex needs because of injury</w:t>
            </w:r>
          </w:p>
        </w:tc>
        <w:tc>
          <w:tcPr>
            <w:tcW w:w="727" w:type="pct"/>
            <w:tcBorders>
              <w:top w:val="nil"/>
              <w:left w:val="nil"/>
              <w:bottom w:val="single" w:sz="4" w:space="0" w:color="auto"/>
              <w:right w:val="single" w:sz="4" w:space="0" w:color="auto"/>
            </w:tcBorders>
            <w:shd w:val="clear" w:color="000000" w:fill="F6DEE0"/>
            <w:hideMark/>
          </w:tcPr>
          <w:p w14:paraId="0548381B" w14:textId="05E4DD18" w:rsidR="004C19E9" w:rsidRPr="004C19E9" w:rsidRDefault="004C19E9" w:rsidP="004C19E9">
            <w:pPr>
              <w:spacing w:after="0" w:line="240" w:lineRule="auto"/>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 xml:space="preserve">Facility survey, National Surveillance, Population-based surveys </w:t>
            </w:r>
          </w:p>
        </w:tc>
        <w:tc>
          <w:tcPr>
            <w:tcW w:w="370" w:type="pct"/>
            <w:gridSpan w:val="2"/>
            <w:vMerge/>
            <w:tcBorders>
              <w:top w:val="nil"/>
              <w:left w:val="single" w:sz="4" w:space="0" w:color="auto"/>
              <w:bottom w:val="single" w:sz="4" w:space="0" w:color="auto"/>
              <w:right w:val="single" w:sz="4" w:space="0" w:color="auto"/>
            </w:tcBorders>
            <w:vAlign w:val="center"/>
            <w:hideMark/>
          </w:tcPr>
          <w:p w14:paraId="3E9D224D"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p>
        </w:tc>
        <w:tc>
          <w:tcPr>
            <w:tcW w:w="300" w:type="pct"/>
            <w:vMerge/>
            <w:tcBorders>
              <w:top w:val="nil"/>
              <w:left w:val="single" w:sz="4" w:space="0" w:color="auto"/>
              <w:bottom w:val="single" w:sz="4" w:space="0" w:color="auto"/>
              <w:right w:val="single" w:sz="4" w:space="0" w:color="auto"/>
            </w:tcBorders>
            <w:vAlign w:val="center"/>
            <w:hideMark/>
          </w:tcPr>
          <w:p w14:paraId="2D39AA2F"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p>
        </w:tc>
        <w:tc>
          <w:tcPr>
            <w:tcW w:w="350" w:type="pct"/>
            <w:vMerge/>
            <w:tcBorders>
              <w:top w:val="nil"/>
              <w:left w:val="single" w:sz="4" w:space="0" w:color="auto"/>
              <w:bottom w:val="single" w:sz="4" w:space="0" w:color="auto"/>
              <w:right w:val="single" w:sz="4" w:space="0" w:color="auto"/>
            </w:tcBorders>
            <w:vAlign w:val="center"/>
            <w:hideMark/>
          </w:tcPr>
          <w:p w14:paraId="1842881F"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p>
        </w:tc>
        <w:tc>
          <w:tcPr>
            <w:tcW w:w="296" w:type="pct"/>
            <w:vMerge/>
            <w:tcBorders>
              <w:top w:val="nil"/>
              <w:left w:val="single" w:sz="4" w:space="0" w:color="auto"/>
              <w:bottom w:val="single" w:sz="4" w:space="0" w:color="auto"/>
              <w:right w:val="single" w:sz="4" w:space="0" w:color="auto"/>
            </w:tcBorders>
            <w:vAlign w:val="center"/>
            <w:hideMark/>
          </w:tcPr>
          <w:p w14:paraId="4B6CC5D5"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p>
        </w:tc>
      </w:tr>
      <w:tr w:rsidR="001166FA" w:rsidRPr="004C19E9" w14:paraId="28BF3EFC" w14:textId="77777777" w:rsidTr="001166FA">
        <w:trPr>
          <w:trHeight w:val="840"/>
        </w:trPr>
        <w:tc>
          <w:tcPr>
            <w:tcW w:w="145" w:type="pct"/>
            <w:vMerge w:val="restart"/>
            <w:tcBorders>
              <w:top w:val="nil"/>
              <w:left w:val="single" w:sz="4" w:space="0" w:color="auto"/>
              <w:bottom w:val="single" w:sz="4" w:space="0" w:color="auto"/>
              <w:right w:val="single" w:sz="4" w:space="0" w:color="auto"/>
            </w:tcBorders>
            <w:shd w:val="clear" w:color="000000" w:fill="F6DEE0"/>
            <w:noWrap/>
            <w:vAlign w:val="center"/>
            <w:hideMark/>
          </w:tcPr>
          <w:p w14:paraId="213A8AD6" w14:textId="77777777" w:rsidR="004C19E9" w:rsidRPr="004C19E9" w:rsidRDefault="004C19E9" w:rsidP="004C19E9">
            <w:pPr>
              <w:spacing w:after="0" w:line="240" w:lineRule="auto"/>
              <w:jc w:val="center"/>
              <w:rPr>
                <w:rFonts w:ascii="Calibri" w:eastAsia="Times New Roman" w:hAnsi="Calibri" w:cs="Calibri"/>
                <w:b/>
                <w:bCs/>
                <w:color w:val="000000"/>
                <w:sz w:val="20"/>
                <w:szCs w:val="20"/>
                <w:lang w:val="en-US" w:eastAsia="en-US"/>
              </w:rPr>
            </w:pPr>
            <w:r w:rsidRPr="004C19E9">
              <w:rPr>
                <w:rFonts w:ascii="Calibri" w:eastAsia="Times New Roman" w:hAnsi="Calibri" w:cs="Calibri"/>
                <w:b/>
                <w:bCs/>
                <w:color w:val="000000"/>
                <w:sz w:val="20"/>
                <w:szCs w:val="20"/>
                <w:lang w:val="en-US" w:eastAsia="en-US"/>
              </w:rPr>
              <w:t>37</w:t>
            </w:r>
          </w:p>
        </w:tc>
        <w:tc>
          <w:tcPr>
            <w:tcW w:w="1142" w:type="pct"/>
            <w:vMerge w:val="restart"/>
            <w:tcBorders>
              <w:top w:val="nil"/>
              <w:left w:val="single" w:sz="4" w:space="0" w:color="auto"/>
              <w:bottom w:val="single" w:sz="4" w:space="0" w:color="auto"/>
              <w:right w:val="single" w:sz="4" w:space="0" w:color="auto"/>
            </w:tcBorders>
            <w:shd w:val="clear" w:color="000000" w:fill="F6DEE0"/>
            <w:vAlign w:val="center"/>
            <w:hideMark/>
          </w:tcPr>
          <w:p w14:paraId="5DECF514"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EC treatment for hip osteoarthritis – proxied using the ratio of those with hip replacements to the number in need of a hip replacement.</w:t>
            </w:r>
          </w:p>
        </w:tc>
        <w:tc>
          <w:tcPr>
            <w:tcW w:w="471" w:type="pct"/>
            <w:tcBorders>
              <w:top w:val="nil"/>
              <w:left w:val="nil"/>
              <w:bottom w:val="single" w:sz="4" w:space="0" w:color="auto"/>
              <w:right w:val="single" w:sz="4" w:space="0" w:color="auto"/>
            </w:tcBorders>
            <w:shd w:val="clear" w:color="000000" w:fill="F6DEE0"/>
            <w:noWrap/>
            <w:vAlign w:val="center"/>
            <w:hideMark/>
          </w:tcPr>
          <w:p w14:paraId="6682E917" w14:textId="77777777" w:rsidR="004C19E9" w:rsidRPr="004C19E9" w:rsidRDefault="004C19E9" w:rsidP="004C19E9">
            <w:pPr>
              <w:spacing w:after="0" w:line="240" w:lineRule="auto"/>
              <w:jc w:val="center"/>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Numerator</w:t>
            </w:r>
          </w:p>
        </w:tc>
        <w:tc>
          <w:tcPr>
            <w:tcW w:w="1199" w:type="pct"/>
            <w:tcBorders>
              <w:top w:val="nil"/>
              <w:left w:val="nil"/>
              <w:bottom w:val="single" w:sz="4" w:space="0" w:color="auto"/>
              <w:right w:val="single" w:sz="4" w:space="0" w:color="auto"/>
            </w:tcBorders>
            <w:shd w:val="clear" w:color="000000" w:fill="F6DEE0"/>
            <w:vAlign w:val="center"/>
            <w:hideMark/>
          </w:tcPr>
          <w:p w14:paraId="4734F59D"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number of people who have received a hip replacement</w:t>
            </w:r>
          </w:p>
        </w:tc>
        <w:tc>
          <w:tcPr>
            <w:tcW w:w="727" w:type="pct"/>
            <w:tcBorders>
              <w:top w:val="nil"/>
              <w:left w:val="nil"/>
              <w:bottom w:val="single" w:sz="4" w:space="0" w:color="auto"/>
              <w:right w:val="single" w:sz="4" w:space="0" w:color="auto"/>
            </w:tcBorders>
            <w:shd w:val="clear" w:color="000000" w:fill="F6DEE0"/>
            <w:hideMark/>
          </w:tcPr>
          <w:p w14:paraId="55BF7534" w14:textId="5450C5C9" w:rsidR="004C19E9" w:rsidRPr="004C19E9" w:rsidRDefault="004C19E9" w:rsidP="004C19E9">
            <w:pPr>
              <w:spacing w:after="0" w:line="240" w:lineRule="auto"/>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 xml:space="preserve">National Surveillance, Population-based surveys </w:t>
            </w:r>
          </w:p>
        </w:tc>
        <w:tc>
          <w:tcPr>
            <w:tcW w:w="370" w:type="pct"/>
            <w:gridSpan w:val="2"/>
            <w:vMerge w:val="restart"/>
            <w:tcBorders>
              <w:top w:val="nil"/>
              <w:left w:val="single" w:sz="4" w:space="0" w:color="auto"/>
              <w:bottom w:val="single" w:sz="4" w:space="0" w:color="auto"/>
              <w:right w:val="single" w:sz="4" w:space="0" w:color="auto"/>
            </w:tcBorders>
            <w:shd w:val="clear" w:color="000000" w:fill="F6DEE0"/>
            <w:noWrap/>
            <w:vAlign w:val="center"/>
            <w:hideMark/>
          </w:tcPr>
          <w:p w14:paraId="2D003EAF" w14:textId="77777777" w:rsidR="004C19E9" w:rsidRPr="004C19E9" w:rsidRDefault="004C19E9" w:rsidP="004C19E9">
            <w:pPr>
              <w:spacing w:after="0" w:line="240" w:lineRule="auto"/>
              <w:jc w:val="center"/>
              <w:rPr>
                <w:rFonts w:ascii="Calibri" w:eastAsia="Times New Roman" w:hAnsi="Calibri" w:cs="Calibri"/>
                <w:color w:val="C00000"/>
                <w:sz w:val="20"/>
                <w:szCs w:val="20"/>
                <w:lang w:val="en-US" w:eastAsia="en-US"/>
              </w:rPr>
            </w:pPr>
            <w:r w:rsidRPr="004C19E9">
              <w:rPr>
                <w:rFonts w:ascii="Calibri" w:eastAsia="Times New Roman" w:hAnsi="Calibri" w:cs="Calibri"/>
                <w:color w:val="C00000"/>
                <w:sz w:val="20"/>
                <w:szCs w:val="20"/>
                <w:lang w:val="en-US" w:eastAsia="en-US"/>
              </w:rPr>
              <w:t> </w:t>
            </w:r>
          </w:p>
        </w:tc>
        <w:tc>
          <w:tcPr>
            <w:tcW w:w="300" w:type="pct"/>
            <w:vMerge w:val="restart"/>
            <w:tcBorders>
              <w:top w:val="nil"/>
              <w:left w:val="single" w:sz="4" w:space="0" w:color="auto"/>
              <w:bottom w:val="single" w:sz="4" w:space="0" w:color="auto"/>
              <w:right w:val="single" w:sz="4" w:space="0" w:color="auto"/>
            </w:tcBorders>
            <w:shd w:val="clear" w:color="000000" w:fill="F6DEE0"/>
            <w:vAlign w:val="center"/>
            <w:hideMark/>
          </w:tcPr>
          <w:p w14:paraId="7D717D89" w14:textId="77777777" w:rsidR="004C19E9" w:rsidRPr="004C19E9" w:rsidRDefault="004C19E9" w:rsidP="004C19E9">
            <w:pPr>
              <w:spacing w:after="0" w:line="240" w:lineRule="auto"/>
              <w:jc w:val="center"/>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 </w:t>
            </w:r>
          </w:p>
        </w:tc>
        <w:tc>
          <w:tcPr>
            <w:tcW w:w="350" w:type="pct"/>
            <w:vMerge w:val="restart"/>
            <w:tcBorders>
              <w:top w:val="nil"/>
              <w:left w:val="single" w:sz="4" w:space="0" w:color="auto"/>
              <w:bottom w:val="single" w:sz="4" w:space="0" w:color="auto"/>
              <w:right w:val="single" w:sz="4" w:space="0" w:color="auto"/>
            </w:tcBorders>
            <w:shd w:val="clear" w:color="000000" w:fill="F6DEE0"/>
            <w:vAlign w:val="center"/>
            <w:hideMark/>
          </w:tcPr>
          <w:p w14:paraId="05E9F94B" w14:textId="77777777" w:rsidR="004C19E9" w:rsidRPr="004C19E9" w:rsidRDefault="004C19E9" w:rsidP="004C19E9">
            <w:pPr>
              <w:spacing w:after="0" w:line="240" w:lineRule="auto"/>
              <w:jc w:val="center"/>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 </w:t>
            </w:r>
          </w:p>
        </w:tc>
        <w:tc>
          <w:tcPr>
            <w:tcW w:w="296" w:type="pct"/>
            <w:vMerge w:val="restart"/>
            <w:tcBorders>
              <w:top w:val="nil"/>
              <w:left w:val="single" w:sz="4" w:space="0" w:color="auto"/>
              <w:bottom w:val="single" w:sz="4" w:space="0" w:color="auto"/>
              <w:right w:val="single" w:sz="4" w:space="0" w:color="auto"/>
            </w:tcBorders>
            <w:shd w:val="clear" w:color="000000" w:fill="F6DEE0"/>
            <w:noWrap/>
            <w:vAlign w:val="center"/>
            <w:hideMark/>
          </w:tcPr>
          <w:p w14:paraId="7C0D63EC" w14:textId="77777777" w:rsidR="004C19E9" w:rsidRPr="004C19E9" w:rsidRDefault="004C19E9" w:rsidP="004C19E9">
            <w:pPr>
              <w:spacing w:after="0" w:line="240" w:lineRule="auto"/>
              <w:jc w:val="center"/>
              <w:rPr>
                <w:rFonts w:ascii="Calibri" w:eastAsia="Times New Roman" w:hAnsi="Calibri" w:cs="Calibri"/>
                <w:color w:val="C00000"/>
                <w:sz w:val="20"/>
                <w:szCs w:val="20"/>
                <w:lang w:val="en-US" w:eastAsia="en-US"/>
              </w:rPr>
            </w:pPr>
            <w:r w:rsidRPr="004C19E9">
              <w:rPr>
                <w:rFonts w:ascii="Calibri" w:eastAsia="Times New Roman" w:hAnsi="Calibri" w:cs="Calibri"/>
                <w:color w:val="C00000"/>
                <w:sz w:val="20"/>
                <w:szCs w:val="20"/>
                <w:lang w:val="en-US" w:eastAsia="en-US"/>
              </w:rPr>
              <w:t> </w:t>
            </w:r>
          </w:p>
        </w:tc>
      </w:tr>
      <w:tr w:rsidR="001166FA" w:rsidRPr="004C19E9" w14:paraId="5CAAAE7C" w14:textId="77777777" w:rsidTr="001166FA">
        <w:trPr>
          <w:trHeight w:val="825"/>
        </w:trPr>
        <w:tc>
          <w:tcPr>
            <w:tcW w:w="145" w:type="pct"/>
            <w:vMerge/>
            <w:tcBorders>
              <w:top w:val="nil"/>
              <w:left w:val="single" w:sz="4" w:space="0" w:color="auto"/>
              <w:bottom w:val="single" w:sz="4" w:space="0" w:color="auto"/>
              <w:right w:val="single" w:sz="4" w:space="0" w:color="auto"/>
            </w:tcBorders>
            <w:vAlign w:val="center"/>
            <w:hideMark/>
          </w:tcPr>
          <w:p w14:paraId="4BE012E7" w14:textId="77777777" w:rsidR="004C19E9" w:rsidRPr="004C19E9" w:rsidRDefault="004C19E9" w:rsidP="004C19E9">
            <w:pPr>
              <w:spacing w:after="0" w:line="240" w:lineRule="auto"/>
              <w:rPr>
                <w:rFonts w:ascii="Calibri" w:eastAsia="Times New Roman" w:hAnsi="Calibri" w:cs="Calibri"/>
                <w:b/>
                <w:bCs/>
                <w:color w:val="000000"/>
                <w:sz w:val="20"/>
                <w:szCs w:val="20"/>
                <w:lang w:val="en-US" w:eastAsia="en-US"/>
              </w:rPr>
            </w:pPr>
          </w:p>
        </w:tc>
        <w:tc>
          <w:tcPr>
            <w:tcW w:w="1142" w:type="pct"/>
            <w:vMerge/>
            <w:tcBorders>
              <w:top w:val="nil"/>
              <w:left w:val="single" w:sz="4" w:space="0" w:color="auto"/>
              <w:bottom w:val="single" w:sz="4" w:space="0" w:color="auto"/>
              <w:right w:val="single" w:sz="4" w:space="0" w:color="auto"/>
            </w:tcBorders>
            <w:vAlign w:val="center"/>
            <w:hideMark/>
          </w:tcPr>
          <w:p w14:paraId="6E41FB16"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p>
        </w:tc>
        <w:tc>
          <w:tcPr>
            <w:tcW w:w="471" w:type="pct"/>
            <w:tcBorders>
              <w:top w:val="nil"/>
              <w:left w:val="nil"/>
              <w:bottom w:val="single" w:sz="4" w:space="0" w:color="auto"/>
              <w:right w:val="single" w:sz="4" w:space="0" w:color="auto"/>
            </w:tcBorders>
            <w:shd w:val="clear" w:color="000000" w:fill="F6DEE0"/>
            <w:noWrap/>
            <w:vAlign w:val="center"/>
            <w:hideMark/>
          </w:tcPr>
          <w:p w14:paraId="744A6CA8" w14:textId="77777777" w:rsidR="004C19E9" w:rsidRPr="004C19E9" w:rsidRDefault="004C19E9" w:rsidP="004C19E9">
            <w:pPr>
              <w:spacing w:after="0" w:line="240" w:lineRule="auto"/>
              <w:jc w:val="center"/>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Denominator</w:t>
            </w:r>
          </w:p>
        </w:tc>
        <w:tc>
          <w:tcPr>
            <w:tcW w:w="1199" w:type="pct"/>
            <w:tcBorders>
              <w:top w:val="nil"/>
              <w:left w:val="nil"/>
              <w:bottom w:val="single" w:sz="4" w:space="0" w:color="auto"/>
              <w:right w:val="single" w:sz="4" w:space="0" w:color="auto"/>
            </w:tcBorders>
            <w:shd w:val="clear" w:color="000000" w:fill="F6DEE0"/>
            <w:vAlign w:val="center"/>
            <w:hideMark/>
          </w:tcPr>
          <w:p w14:paraId="66375800"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number of people with severe hip osteoarthritis + number of people with a hip replacement</w:t>
            </w:r>
          </w:p>
        </w:tc>
        <w:tc>
          <w:tcPr>
            <w:tcW w:w="727" w:type="pct"/>
            <w:tcBorders>
              <w:top w:val="nil"/>
              <w:left w:val="nil"/>
              <w:bottom w:val="single" w:sz="4" w:space="0" w:color="auto"/>
              <w:right w:val="single" w:sz="4" w:space="0" w:color="auto"/>
            </w:tcBorders>
            <w:shd w:val="clear" w:color="000000" w:fill="F6DEE0"/>
            <w:hideMark/>
          </w:tcPr>
          <w:p w14:paraId="7437D249" w14:textId="2CB474BB" w:rsidR="004C19E9" w:rsidRPr="004C19E9" w:rsidRDefault="004C19E9" w:rsidP="004C19E9">
            <w:pPr>
              <w:spacing w:after="0" w:line="240" w:lineRule="auto"/>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 xml:space="preserve">National Surveillance, Population-based surveys </w:t>
            </w:r>
          </w:p>
        </w:tc>
        <w:tc>
          <w:tcPr>
            <w:tcW w:w="370" w:type="pct"/>
            <w:gridSpan w:val="2"/>
            <w:vMerge/>
            <w:tcBorders>
              <w:top w:val="nil"/>
              <w:left w:val="single" w:sz="4" w:space="0" w:color="auto"/>
              <w:bottom w:val="single" w:sz="4" w:space="0" w:color="auto"/>
              <w:right w:val="single" w:sz="4" w:space="0" w:color="auto"/>
            </w:tcBorders>
            <w:vAlign w:val="center"/>
            <w:hideMark/>
          </w:tcPr>
          <w:p w14:paraId="1C8B3601" w14:textId="77777777" w:rsidR="004C19E9" w:rsidRPr="004C19E9" w:rsidRDefault="004C19E9" w:rsidP="004C19E9">
            <w:pPr>
              <w:spacing w:after="0" w:line="240" w:lineRule="auto"/>
              <w:rPr>
                <w:rFonts w:ascii="Calibri" w:eastAsia="Times New Roman" w:hAnsi="Calibri" w:cs="Calibri"/>
                <w:color w:val="C00000"/>
                <w:sz w:val="20"/>
                <w:szCs w:val="20"/>
                <w:lang w:val="en-US" w:eastAsia="en-US"/>
              </w:rPr>
            </w:pPr>
          </w:p>
        </w:tc>
        <w:tc>
          <w:tcPr>
            <w:tcW w:w="300" w:type="pct"/>
            <w:vMerge/>
            <w:tcBorders>
              <w:top w:val="nil"/>
              <w:left w:val="single" w:sz="4" w:space="0" w:color="auto"/>
              <w:bottom w:val="single" w:sz="4" w:space="0" w:color="auto"/>
              <w:right w:val="single" w:sz="4" w:space="0" w:color="auto"/>
            </w:tcBorders>
            <w:vAlign w:val="center"/>
            <w:hideMark/>
          </w:tcPr>
          <w:p w14:paraId="23A38507"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p>
        </w:tc>
        <w:tc>
          <w:tcPr>
            <w:tcW w:w="350" w:type="pct"/>
            <w:vMerge/>
            <w:tcBorders>
              <w:top w:val="nil"/>
              <w:left w:val="single" w:sz="4" w:space="0" w:color="auto"/>
              <w:bottom w:val="single" w:sz="4" w:space="0" w:color="auto"/>
              <w:right w:val="single" w:sz="4" w:space="0" w:color="auto"/>
            </w:tcBorders>
            <w:vAlign w:val="center"/>
            <w:hideMark/>
          </w:tcPr>
          <w:p w14:paraId="53332E04"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p>
        </w:tc>
        <w:tc>
          <w:tcPr>
            <w:tcW w:w="296" w:type="pct"/>
            <w:vMerge/>
            <w:tcBorders>
              <w:top w:val="nil"/>
              <w:left w:val="single" w:sz="4" w:space="0" w:color="auto"/>
              <w:bottom w:val="single" w:sz="4" w:space="0" w:color="auto"/>
              <w:right w:val="single" w:sz="4" w:space="0" w:color="auto"/>
            </w:tcBorders>
            <w:vAlign w:val="center"/>
            <w:hideMark/>
          </w:tcPr>
          <w:p w14:paraId="6D792C70" w14:textId="77777777" w:rsidR="004C19E9" w:rsidRPr="004C19E9" w:rsidRDefault="004C19E9" w:rsidP="004C19E9">
            <w:pPr>
              <w:spacing w:after="0" w:line="240" w:lineRule="auto"/>
              <w:rPr>
                <w:rFonts w:ascii="Calibri" w:eastAsia="Times New Roman" w:hAnsi="Calibri" w:cs="Calibri"/>
                <w:color w:val="C00000"/>
                <w:sz w:val="20"/>
                <w:szCs w:val="20"/>
                <w:lang w:val="en-US" w:eastAsia="en-US"/>
              </w:rPr>
            </w:pPr>
          </w:p>
        </w:tc>
      </w:tr>
      <w:tr w:rsidR="001166FA" w:rsidRPr="004C19E9" w14:paraId="11F98385" w14:textId="77777777" w:rsidTr="001166FA">
        <w:trPr>
          <w:trHeight w:val="600"/>
        </w:trPr>
        <w:tc>
          <w:tcPr>
            <w:tcW w:w="145" w:type="pct"/>
            <w:vMerge w:val="restart"/>
            <w:tcBorders>
              <w:top w:val="nil"/>
              <w:left w:val="single" w:sz="4" w:space="0" w:color="auto"/>
              <w:bottom w:val="single" w:sz="4" w:space="0" w:color="auto"/>
              <w:right w:val="single" w:sz="4" w:space="0" w:color="auto"/>
            </w:tcBorders>
            <w:shd w:val="clear" w:color="000000" w:fill="F6DEE0"/>
            <w:noWrap/>
            <w:vAlign w:val="center"/>
            <w:hideMark/>
          </w:tcPr>
          <w:p w14:paraId="1AF4B72C" w14:textId="77777777" w:rsidR="004C19E9" w:rsidRPr="004C19E9" w:rsidRDefault="004C19E9" w:rsidP="004C19E9">
            <w:pPr>
              <w:spacing w:after="0" w:line="240" w:lineRule="auto"/>
              <w:jc w:val="center"/>
              <w:rPr>
                <w:rFonts w:ascii="Calibri" w:eastAsia="Times New Roman" w:hAnsi="Calibri" w:cs="Calibri"/>
                <w:b/>
                <w:bCs/>
                <w:color w:val="000000"/>
                <w:sz w:val="20"/>
                <w:szCs w:val="20"/>
                <w:lang w:val="en-US" w:eastAsia="en-US"/>
              </w:rPr>
            </w:pPr>
            <w:r w:rsidRPr="004C19E9">
              <w:rPr>
                <w:rFonts w:ascii="Calibri" w:eastAsia="Times New Roman" w:hAnsi="Calibri" w:cs="Calibri"/>
                <w:b/>
                <w:bCs/>
                <w:color w:val="000000"/>
                <w:sz w:val="20"/>
                <w:szCs w:val="20"/>
                <w:lang w:val="en-US" w:eastAsia="en-US"/>
              </w:rPr>
              <w:t>38</w:t>
            </w:r>
          </w:p>
        </w:tc>
        <w:tc>
          <w:tcPr>
            <w:tcW w:w="1142" w:type="pct"/>
            <w:vMerge w:val="restart"/>
            <w:tcBorders>
              <w:top w:val="nil"/>
              <w:left w:val="single" w:sz="4" w:space="0" w:color="auto"/>
              <w:bottom w:val="single" w:sz="4" w:space="0" w:color="auto"/>
              <w:right w:val="single" w:sz="4" w:space="0" w:color="auto"/>
            </w:tcBorders>
            <w:shd w:val="clear" w:color="000000" w:fill="F6DEE0"/>
            <w:vAlign w:val="center"/>
            <w:hideMark/>
          </w:tcPr>
          <w:p w14:paraId="3923CA95"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EC hearing loss rehabilitation of deaf or hard-of-hearing infants.</w:t>
            </w:r>
          </w:p>
        </w:tc>
        <w:tc>
          <w:tcPr>
            <w:tcW w:w="471" w:type="pct"/>
            <w:tcBorders>
              <w:top w:val="nil"/>
              <w:left w:val="nil"/>
              <w:bottom w:val="single" w:sz="4" w:space="0" w:color="auto"/>
              <w:right w:val="single" w:sz="4" w:space="0" w:color="auto"/>
            </w:tcBorders>
            <w:shd w:val="clear" w:color="000000" w:fill="F6DEE0"/>
            <w:noWrap/>
            <w:vAlign w:val="center"/>
            <w:hideMark/>
          </w:tcPr>
          <w:p w14:paraId="2D1F876D" w14:textId="77777777" w:rsidR="004C19E9" w:rsidRPr="004C19E9" w:rsidRDefault="004C19E9" w:rsidP="004C19E9">
            <w:pPr>
              <w:spacing w:after="0" w:line="240" w:lineRule="auto"/>
              <w:jc w:val="center"/>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Numerator</w:t>
            </w:r>
          </w:p>
        </w:tc>
        <w:tc>
          <w:tcPr>
            <w:tcW w:w="1199" w:type="pct"/>
            <w:tcBorders>
              <w:top w:val="nil"/>
              <w:left w:val="nil"/>
              <w:bottom w:val="single" w:sz="4" w:space="0" w:color="auto"/>
              <w:right w:val="single" w:sz="4" w:space="0" w:color="auto"/>
            </w:tcBorders>
            <w:shd w:val="clear" w:color="000000" w:fill="F6DEE0"/>
            <w:hideMark/>
          </w:tcPr>
          <w:p w14:paraId="2D9B3D83"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number of infants (aged 0–1 year) receiving hearing loss rehabilitation</w:t>
            </w:r>
          </w:p>
        </w:tc>
        <w:tc>
          <w:tcPr>
            <w:tcW w:w="727" w:type="pct"/>
            <w:tcBorders>
              <w:top w:val="nil"/>
              <w:left w:val="nil"/>
              <w:bottom w:val="single" w:sz="4" w:space="0" w:color="auto"/>
              <w:right w:val="single" w:sz="4" w:space="0" w:color="auto"/>
            </w:tcBorders>
            <w:shd w:val="clear" w:color="000000" w:fill="F6DEE0"/>
            <w:hideMark/>
          </w:tcPr>
          <w:p w14:paraId="3793870F"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National Surveillance, Population-based surveys, registries</w:t>
            </w:r>
          </w:p>
        </w:tc>
        <w:tc>
          <w:tcPr>
            <w:tcW w:w="370" w:type="pct"/>
            <w:gridSpan w:val="2"/>
            <w:vMerge w:val="restart"/>
            <w:tcBorders>
              <w:top w:val="nil"/>
              <w:left w:val="single" w:sz="4" w:space="0" w:color="auto"/>
              <w:bottom w:val="single" w:sz="4" w:space="0" w:color="auto"/>
              <w:right w:val="single" w:sz="4" w:space="0" w:color="auto"/>
            </w:tcBorders>
            <w:shd w:val="clear" w:color="000000" w:fill="F6DEE0"/>
            <w:vAlign w:val="center"/>
            <w:hideMark/>
          </w:tcPr>
          <w:p w14:paraId="31B11454" w14:textId="77777777" w:rsidR="004C19E9" w:rsidRPr="004C19E9" w:rsidRDefault="004C19E9" w:rsidP="004C19E9">
            <w:pPr>
              <w:spacing w:after="0" w:line="240" w:lineRule="auto"/>
              <w:jc w:val="center"/>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 </w:t>
            </w:r>
          </w:p>
        </w:tc>
        <w:tc>
          <w:tcPr>
            <w:tcW w:w="300" w:type="pct"/>
            <w:vMerge w:val="restart"/>
            <w:tcBorders>
              <w:top w:val="nil"/>
              <w:left w:val="single" w:sz="4" w:space="0" w:color="auto"/>
              <w:bottom w:val="single" w:sz="4" w:space="0" w:color="auto"/>
              <w:right w:val="single" w:sz="4" w:space="0" w:color="auto"/>
            </w:tcBorders>
            <w:shd w:val="clear" w:color="000000" w:fill="F6DEE0"/>
            <w:vAlign w:val="center"/>
            <w:hideMark/>
          </w:tcPr>
          <w:p w14:paraId="7165B819" w14:textId="77777777" w:rsidR="004C19E9" w:rsidRPr="004C19E9" w:rsidRDefault="004C19E9" w:rsidP="004C19E9">
            <w:pPr>
              <w:spacing w:after="0" w:line="240" w:lineRule="auto"/>
              <w:jc w:val="center"/>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 </w:t>
            </w:r>
          </w:p>
        </w:tc>
        <w:tc>
          <w:tcPr>
            <w:tcW w:w="350" w:type="pct"/>
            <w:vMerge w:val="restart"/>
            <w:tcBorders>
              <w:top w:val="nil"/>
              <w:left w:val="single" w:sz="4" w:space="0" w:color="auto"/>
              <w:bottom w:val="single" w:sz="4" w:space="0" w:color="auto"/>
              <w:right w:val="single" w:sz="4" w:space="0" w:color="auto"/>
            </w:tcBorders>
            <w:shd w:val="clear" w:color="000000" w:fill="F6DEE0"/>
            <w:vAlign w:val="center"/>
            <w:hideMark/>
          </w:tcPr>
          <w:p w14:paraId="66549243" w14:textId="77777777" w:rsidR="004C19E9" w:rsidRPr="004C19E9" w:rsidRDefault="004C19E9" w:rsidP="004C19E9">
            <w:pPr>
              <w:spacing w:after="0" w:line="240" w:lineRule="auto"/>
              <w:jc w:val="center"/>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 </w:t>
            </w:r>
          </w:p>
        </w:tc>
        <w:tc>
          <w:tcPr>
            <w:tcW w:w="296" w:type="pct"/>
            <w:vMerge w:val="restart"/>
            <w:tcBorders>
              <w:top w:val="nil"/>
              <w:left w:val="single" w:sz="4" w:space="0" w:color="auto"/>
              <w:bottom w:val="single" w:sz="4" w:space="0" w:color="auto"/>
              <w:right w:val="single" w:sz="4" w:space="0" w:color="auto"/>
            </w:tcBorders>
            <w:shd w:val="clear" w:color="000000" w:fill="F6DEE0"/>
            <w:vAlign w:val="center"/>
            <w:hideMark/>
          </w:tcPr>
          <w:p w14:paraId="557C05DB" w14:textId="77777777" w:rsidR="004C19E9" w:rsidRPr="004C19E9" w:rsidRDefault="004C19E9" w:rsidP="004C19E9">
            <w:pPr>
              <w:spacing w:after="0" w:line="240" w:lineRule="auto"/>
              <w:jc w:val="center"/>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 </w:t>
            </w:r>
          </w:p>
        </w:tc>
      </w:tr>
      <w:tr w:rsidR="001166FA" w:rsidRPr="004C19E9" w14:paraId="664B019F" w14:textId="77777777" w:rsidTr="001166FA">
        <w:trPr>
          <w:trHeight w:val="600"/>
        </w:trPr>
        <w:tc>
          <w:tcPr>
            <w:tcW w:w="145" w:type="pct"/>
            <w:vMerge/>
            <w:tcBorders>
              <w:top w:val="nil"/>
              <w:left w:val="single" w:sz="4" w:space="0" w:color="auto"/>
              <w:bottom w:val="single" w:sz="4" w:space="0" w:color="auto"/>
              <w:right w:val="single" w:sz="4" w:space="0" w:color="auto"/>
            </w:tcBorders>
            <w:vAlign w:val="center"/>
            <w:hideMark/>
          </w:tcPr>
          <w:p w14:paraId="2C373A71" w14:textId="77777777" w:rsidR="004C19E9" w:rsidRPr="004C19E9" w:rsidRDefault="004C19E9" w:rsidP="004C19E9">
            <w:pPr>
              <w:spacing w:after="0" w:line="240" w:lineRule="auto"/>
              <w:rPr>
                <w:rFonts w:ascii="Calibri" w:eastAsia="Times New Roman" w:hAnsi="Calibri" w:cs="Calibri"/>
                <w:b/>
                <w:bCs/>
                <w:color w:val="000000"/>
                <w:sz w:val="20"/>
                <w:szCs w:val="20"/>
                <w:lang w:val="en-US" w:eastAsia="en-US"/>
              </w:rPr>
            </w:pPr>
          </w:p>
        </w:tc>
        <w:tc>
          <w:tcPr>
            <w:tcW w:w="1142" w:type="pct"/>
            <w:vMerge/>
            <w:tcBorders>
              <w:top w:val="nil"/>
              <w:left w:val="single" w:sz="4" w:space="0" w:color="auto"/>
              <w:bottom w:val="single" w:sz="4" w:space="0" w:color="auto"/>
              <w:right w:val="single" w:sz="4" w:space="0" w:color="auto"/>
            </w:tcBorders>
            <w:vAlign w:val="center"/>
            <w:hideMark/>
          </w:tcPr>
          <w:p w14:paraId="5DC9D292"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p>
        </w:tc>
        <w:tc>
          <w:tcPr>
            <w:tcW w:w="471" w:type="pct"/>
            <w:tcBorders>
              <w:top w:val="nil"/>
              <w:left w:val="nil"/>
              <w:bottom w:val="single" w:sz="4" w:space="0" w:color="auto"/>
              <w:right w:val="single" w:sz="4" w:space="0" w:color="auto"/>
            </w:tcBorders>
            <w:shd w:val="clear" w:color="000000" w:fill="F6DEE0"/>
            <w:noWrap/>
            <w:vAlign w:val="center"/>
            <w:hideMark/>
          </w:tcPr>
          <w:p w14:paraId="22A01CDB" w14:textId="77777777" w:rsidR="004C19E9" w:rsidRPr="004C19E9" w:rsidRDefault="004C19E9" w:rsidP="004C19E9">
            <w:pPr>
              <w:spacing w:after="0" w:line="240" w:lineRule="auto"/>
              <w:jc w:val="center"/>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Denominator</w:t>
            </w:r>
          </w:p>
        </w:tc>
        <w:tc>
          <w:tcPr>
            <w:tcW w:w="1199" w:type="pct"/>
            <w:tcBorders>
              <w:top w:val="nil"/>
              <w:left w:val="nil"/>
              <w:bottom w:val="single" w:sz="4" w:space="0" w:color="auto"/>
              <w:right w:val="single" w:sz="4" w:space="0" w:color="auto"/>
            </w:tcBorders>
            <w:shd w:val="clear" w:color="000000" w:fill="F6DEE0"/>
            <w:hideMark/>
          </w:tcPr>
          <w:p w14:paraId="737FD406"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number of infants (aged 0–1 year) identified   as deaf or hard of hearing</w:t>
            </w:r>
          </w:p>
        </w:tc>
        <w:tc>
          <w:tcPr>
            <w:tcW w:w="727" w:type="pct"/>
            <w:tcBorders>
              <w:top w:val="nil"/>
              <w:left w:val="nil"/>
              <w:bottom w:val="single" w:sz="4" w:space="0" w:color="auto"/>
              <w:right w:val="single" w:sz="4" w:space="0" w:color="auto"/>
            </w:tcBorders>
            <w:shd w:val="clear" w:color="000000" w:fill="F6DEE0"/>
            <w:hideMark/>
          </w:tcPr>
          <w:p w14:paraId="09F5DB8D"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Population-based surveys, Registries</w:t>
            </w:r>
          </w:p>
        </w:tc>
        <w:tc>
          <w:tcPr>
            <w:tcW w:w="370" w:type="pct"/>
            <w:gridSpan w:val="2"/>
            <w:vMerge/>
            <w:tcBorders>
              <w:top w:val="nil"/>
              <w:left w:val="single" w:sz="4" w:space="0" w:color="auto"/>
              <w:bottom w:val="single" w:sz="4" w:space="0" w:color="auto"/>
              <w:right w:val="single" w:sz="4" w:space="0" w:color="auto"/>
            </w:tcBorders>
            <w:vAlign w:val="center"/>
            <w:hideMark/>
          </w:tcPr>
          <w:p w14:paraId="37F45CF5"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p>
        </w:tc>
        <w:tc>
          <w:tcPr>
            <w:tcW w:w="300" w:type="pct"/>
            <w:vMerge/>
            <w:tcBorders>
              <w:top w:val="nil"/>
              <w:left w:val="single" w:sz="4" w:space="0" w:color="auto"/>
              <w:bottom w:val="single" w:sz="4" w:space="0" w:color="auto"/>
              <w:right w:val="single" w:sz="4" w:space="0" w:color="auto"/>
            </w:tcBorders>
            <w:vAlign w:val="center"/>
            <w:hideMark/>
          </w:tcPr>
          <w:p w14:paraId="349EE757"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p>
        </w:tc>
        <w:tc>
          <w:tcPr>
            <w:tcW w:w="350" w:type="pct"/>
            <w:vMerge/>
            <w:tcBorders>
              <w:top w:val="nil"/>
              <w:left w:val="single" w:sz="4" w:space="0" w:color="auto"/>
              <w:bottom w:val="single" w:sz="4" w:space="0" w:color="auto"/>
              <w:right w:val="single" w:sz="4" w:space="0" w:color="auto"/>
            </w:tcBorders>
            <w:vAlign w:val="center"/>
            <w:hideMark/>
          </w:tcPr>
          <w:p w14:paraId="4F1DC142"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p>
        </w:tc>
        <w:tc>
          <w:tcPr>
            <w:tcW w:w="296" w:type="pct"/>
            <w:vMerge/>
            <w:tcBorders>
              <w:top w:val="nil"/>
              <w:left w:val="single" w:sz="4" w:space="0" w:color="auto"/>
              <w:bottom w:val="single" w:sz="4" w:space="0" w:color="auto"/>
              <w:right w:val="single" w:sz="4" w:space="0" w:color="auto"/>
            </w:tcBorders>
            <w:vAlign w:val="center"/>
            <w:hideMark/>
          </w:tcPr>
          <w:p w14:paraId="438BD3D9"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p>
        </w:tc>
      </w:tr>
      <w:tr w:rsidR="004C19E9" w:rsidRPr="004C19E9" w14:paraId="5E65A6D3" w14:textId="77777777" w:rsidTr="002A2174">
        <w:trPr>
          <w:trHeight w:val="300"/>
        </w:trPr>
        <w:tc>
          <w:tcPr>
            <w:tcW w:w="5000" w:type="pct"/>
            <w:gridSpan w:val="10"/>
            <w:tcBorders>
              <w:top w:val="single" w:sz="4" w:space="0" w:color="auto"/>
              <w:left w:val="single" w:sz="4" w:space="0" w:color="auto"/>
              <w:bottom w:val="single" w:sz="4" w:space="0" w:color="auto"/>
              <w:right w:val="single" w:sz="4" w:space="0" w:color="auto"/>
            </w:tcBorders>
            <w:shd w:val="clear" w:color="000000" w:fill="1F4E78"/>
            <w:noWrap/>
            <w:vAlign w:val="center"/>
            <w:hideMark/>
          </w:tcPr>
          <w:p w14:paraId="668A3023" w14:textId="77777777" w:rsidR="004C19E9" w:rsidRPr="004C19E9" w:rsidRDefault="004C19E9" w:rsidP="004C19E9">
            <w:pPr>
              <w:spacing w:after="0" w:line="240" w:lineRule="auto"/>
              <w:rPr>
                <w:rFonts w:ascii="Calibri" w:eastAsia="Times New Roman" w:hAnsi="Calibri" w:cs="Calibri"/>
                <w:b/>
                <w:bCs/>
                <w:color w:val="FFFFFF"/>
                <w:sz w:val="20"/>
                <w:szCs w:val="20"/>
                <w:lang w:val="en-US" w:eastAsia="en-US"/>
              </w:rPr>
            </w:pPr>
            <w:r w:rsidRPr="004C19E9">
              <w:rPr>
                <w:rFonts w:ascii="Calibri" w:eastAsia="Times New Roman" w:hAnsi="Calibri" w:cs="Calibri"/>
                <w:b/>
                <w:bCs/>
                <w:color w:val="FFFFFF"/>
                <w:sz w:val="20"/>
                <w:szCs w:val="20"/>
                <w:lang w:val="en-US" w:eastAsia="en-US"/>
              </w:rPr>
              <w:t>Palliation</w:t>
            </w:r>
          </w:p>
        </w:tc>
      </w:tr>
      <w:tr w:rsidR="001166FA" w:rsidRPr="004C19E9" w14:paraId="334F3A7C" w14:textId="77777777" w:rsidTr="001166FA">
        <w:trPr>
          <w:trHeight w:val="600"/>
        </w:trPr>
        <w:tc>
          <w:tcPr>
            <w:tcW w:w="145"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7CBDCD02" w14:textId="77777777" w:rsidR="004C19E9" w:rsidRPr="004C19E9" w:rsidRDefault="004C19E9" w:rsidP="004C19E9">
            <w:pPr>
              <w:spacing w:after="0" w:line="240" w:lineRule="auto"/>
              <w:jc w:val="center"/>
              <w:rPr>
                <w:rFonts w:ascii="Calibri" w:eastAsia="Times New Roman" w:hAnsi="Calibri" w:cs="Calibri"/>
                <w:b/>
                <w:bCs/>
                <w:color w:val="000000"/>
                <w:sz w:val="20"/>
                <w:szCs w:val="20"/>
                <w:lang w:val="en-US" w:eastAsia="en-US"/>
              </w:rPr>
            </w:pPr>
            <w:r w:rsidRPr="004C19E9">
              <w:rPr>
                <w:rFonts w:ascii="Calibri" w:eastAsia="Times New Roman" w:hAnsi="Calibri" w:cs="Calibri"/>
                <w:b/>
                <w:bCs/>
                <w:color w:val="000000"/>
                <w:sz w:val="20"/>
                <w:szCs w:val="20"/>
                <w:lang w:val="en-US" w:eastAsia="en-US"/>
              </w:rPr>
              <w:t>39</w:t>
            </w:r>
          </w:p>
        </w:tc>
        <w:tc>
          <w:tcPr>
            <w:tcW w:w="1142" w:type="pct"/>
            <w:vMerge w:val="restart"/>
            <w:tcBorders>
              <w:top w:val="nil"/>
              <w:left w:val="single" w:sz="4" w:space="0" w:color="auto"/>
              <w:bottom w:val="single" w:sz="4" w:space="0" w:color="auto"/>
              <w:right w:val="single" w:sz="4" w:space="0" w:color="auto"/>
            </w:tcBorders>
            <w:shd w:val="clear" w:color="000000" w:fill="FFFFFF"/>
            <w:vAlign w:val="center"/>
            <w:hideMark/>
          </w:tcPr>
          <w:p w14:paraId="186EB632"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EC palliation – proxied using morphine-equivalent strong opioid analgesics (excluding methadone) per death from cancer.</w:t>
            </w:r>
          </w:p>
        </w:tc>
        <w:tc>
          <w:tcPr>
            <w:tcW w:w="471" w:type="pct"/>
            <w:tcBorders>
              <w:top w:val="nil"/>
              <w:left w:val="nil"/>
              <w:bottom w:val="single" w:sz="4" w:space="0" w:color="auto"/>
              <w:right w:val="single" w:sz="4" w:space="0" w:color="auto"/>
            </w:tcBorders>
            <w:shd w:val="clear" w:color="000000" w:fill="FFFFFF"/>
            <w:noWrap/>
            <w:vAlign w:val="center"/>
            <w:hideMark/>
          </w:tcPr>
          <w:p w14:paraId="6A50685D" w14:textId="77777777" w:rsidR="004C19E9" w:rsidRPr="004C19E9" w:rsidRDefault="004C19E9" w:rsidP="004C19E9">
            <w:pPr>
              <w:spacing w:after="0" w:line="240" w:lineRule="auto"/>
              <w:jc w:val="center"/>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Numerator</w:t>
            </w:r>
          </w:p>
        </w:tc>
        <w:tc>
          <w:tcPr>
            <w:tcW w:w="1199" w:type="pct"/>
            <w:tcBorders>
              <w:top w:val="nil"/>
              <w:left w:val="nil"/>
              <w:bottom w:val="single" w:sz="4" w:space="0" w:color="auto"/>
              <w:right w:val="single" w:sz="4" w:space="0" w:color="auto"/>
            </w:tcBorders>
            <w:shd w:val="clear" w:color="000000" w:fill="FFFFFF"/>
            <w:hideMark/>
          </w:tcPr>
          <w:p w14:paraId="29C0AD93"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population-level consumption of morphine-equivalent strong opioid analgesics</w:t>
            </w:r>
          </w:p>
        </w:tc>
        <w:tc>
          <w:tcPr>
            <w:tcW w:w="727" w:type="pct"/>
            <w:tcBorders>
              <w:top w:val="nil"/>
              <w:left w:val="nil"/>
              <w:bottom w:val="single" w:sz="4" w:space="0" w:color="auto"/>
              <w:right w:val="single" w:sz="4" w:space="0" w:color="auto"/>
            </w:tcBorders>
            <w:shd w:val="clear" w:color="000000" w:fill="FFFFFF"/>
            <w:hideMark/>
          </w:tcPr>
          <w:p w14:paraId="5FCFA88F"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National surveillance, surveys, hospital records, registries</w:t>
            </w:r>
          </w:p>
        </w:tc>
        <w:tc>
          <w:tcPr>
            <w:tcW w:w="370" w:type="pct"/>
            <w:gridSpan w:val="2"/>
            <w:vMerge w:val="restart"/>
            <w:tcBorders>
              <w:top w:val="nil"/>
              <w:left w:val="single" w:sz="4" w:space="0" w:color="auto"/>
              <w:bottom w:val="single" w:sz="4" w:space="0" w:color="auto"/>
              <w:right w:val="single" w:sz="4" w:space="0" w:color="auto"/>
            </w:tcBorders>
            <w:shd w:val="clear" w:color="000000" w:fill="FFFFFF"/>
            <w:vAlign w:val="center"/>
            <w:hideMark/>
          </w:tcPr>
          <w:p w14:paraId="3C824CB7" w14:textId="77777777" w:rsidR="004C19E9" w:rsidRPr="004C19E9" w:rsidRDefault="004C19E9" w:rsidP="004C19E9">
            <w:pPr>
              <w:spacing w:after="0" w:line="240" w:lineRule="auto"/>
              <w:jc w:val="center"/>
              <w:rPr>
                <w:rFonts w:ascii="Calibri" w:eastAsia="Times New Roman" w:hAnsi="Calibri" w:cs="Calibri"/>
                <w:sz w:val="20"/>
                <w:szCs w:val="20"/>
                <w:lang w:val="en-US" w:eastAsia="en-US"/>
              </w:rPr>
            </w:pPr>
            <w:r w:rsidRPr="004C19E9">
              <w:rPr>
                <w:rFonts w:ascii="Calibri" w:eastAsia="Times New Roman" w:hAnsi="Calibri" w:cs="Calibri"/>
                <w:sz w:val="20"/>
                <w:szCs w:val="20"/>
                <w:lang w:val="en-US" w:eastAsia="en-US"/>
              </w:rPr>
              <w:t>133</w:t>
            </w:r>
          </w:p>
        </w:tc>
        <w:tc>
          <w:tcPr>
            <w:tcW w:w="300" w:type="pct"/>
            <w:vMerge w:val="restart"/>
            <w:tcBorders>
              <w:top w:val="nil"/>
              <w:left w:val="single" w:sz="4" w:space="0" w:color="auto"/>
              <w:bottom w:val="single" w:sz="4" w:space="0" w:color="auto"/>
              <w:right w:val="single" w:sz="4" w:space="0" w:color="auto"/>
            </w:tcBorders>
            <w:shd w:val="clear" w:color="000000" w:fill="FFFFFF"/>
            <w:vAlign w:val="center"/>
            <w:hideMark/>
          </w:tcPr>
          <w:p w14:paraId="6DC5EF5B" w14:textId="77777777" w:rsidR="004C19E9" w:rsidRPr="004C19E9" w:rsidRDefault="004C19E9" w:rsidP="004C19E9">
            <w:pPr>
              <w:spacing w:after="0" w:line="240" w:lineRule="auto"/>
              <w:jc w:val="center"/>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Yes</w:t>
            </w:r>
          </w:p>
        </w:tc>
        <w:tc>
          <w:tcPr>
            <w:tcW w:w="350" w:type="pct"/>
            <w:vMerge w:val="restart"/>
            <w:tcBorders>
              <w:top w:val="nil"/>
              <w:left w:val="single" w:sz="4" w:space="0" w:color="auto"/>
              <w:bottom w:val="single" w:sz="4" w:space="0" w:color="auto"/>
              <w:right w:val="single" w:sz="4" w:space="0" w:color="auto"/>
            </w:tcBorders>
            <w:shd w:val="clear" w:color="000000" w:fill="FFFFFF"/>
            <w:vAlign w:val="center"/>
            <w:hideMark/>
          </w:tcPr>
          <w:p w14:paraId="5D7C5EF5" w14:textId="77777777" w:rsidR="004C19E9" w:rsidRPr="004C19E9" w:rsidRDefault="004C19E9" w:rsidP="004C19E9">
            <w:pPr>
              <w:spacing w:after="0" w:line="240" w:lineRule="auto"/>
              <w:jc w:val="center"/>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Yes</w:t>
            </w:r>
          </w:p>
        </w:tc>
        <w:tc>
          <w:tcPr>
            <w:tcW w:w="296" w:type="pct"/>
            <w:vMerge w:val="restart"/>
            <w:tcBorders>
              <w:top w:val="nil"/>
              <w:left w:val="single" w:sz="4" w:space="0" w:color="auto"/>
              <w:bottom w:val="single" w:sz="4" w:space="0" w:color="auto"/>
              <w:right w:val="single" w:sz="4" w:space="0" w:color="auto"/>
            </w:tcBorders>
            <w:shd w:val="clear" w:color="000000" w:fill="FFFFFF"/>
            <w:vAlign w:val="center"/>
            <w:hideMark/>
          </w:tcPr>
          <w:p w14:paraId="0753C23C" w14:textId="77777777" w:rsidR="004C19E9" w:rsidRPr="004C19E9" w:rsidRDefault="004C19E9" w:rsidP="004C19E9">
            <w:pPr>
              <w:spacing w:after="0" w:line="240" w:lineRule="auto"/>
              <w:jc w:val="center"/>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3.4.1</w:t>
            </w:r>
          </w:p>
        </w:tc>
      </w:tr>
      <w:tr w:rsidR="001166FA" w:rsidRPr="004C19E9" w14:paraId="64C1FAD4" w14:textId="77777777" w:rsidTr="001166FA">
        <w:trPr>
          <w:trHeight w:val="585"/>
        </w:trPr>
        <w:tc>
          <w:tcPr>
            <w:tcW w:w="145" w:type="pct"/>
            <w:vMerge/>
            <w:tcBorders>
              <w:top w:val="nil"/>
              <w:left w:val="single" w:sz="4" w:space="0" w:color="auto"/>
              <w:bottom w:val="single" w:sz="4" w:space="0" w:color="auto"/>
              <w:right w:val="single" w:sz="4" w:space="0" w:color="auto"/>
            </w:tcBorders>
            <w:vAlign w:val="center"/>
            <w:hideMark/>
          </w:tcPr>
          <w:p w14:paraId="018373DA" w14:textId="77777777" w:rsidR="004C19E9" w:rsidRPr="004C19E9" w:rsidRDefault="004C19E9" w:rsidP="004C19E9">
            <w:pPr>
              <w:spacing w:after="0" w:line="240" w:lineRule="auto"/>
              <w:rPr>
                <w:rFonts w:ascii="Calibri" w:eastAsia="Times New Roman" w:hAnsi="Calibri" w:cs="Calibri"/>
                <w:b/>
                <w:bCs/>
                <w:color w:val="000000"/>
                <w:sz w:val="20"/>
                <w:szCs w:val="20"/>
                <w:lang w:val="en-US" w:eastAsia="en-US"/>
              </w:rPr>
            </w:pPr>
          </w:p>
        </w:tc>
        <w:tc>
          <w:tcPr>
            <w:tcW w:w="1142" w:type="pct"/>
            <w:vMerge/>
            <w:tcBorders>
              <w:top w:val="nil"/>
              <w:left w:val="single" w:sz="4" w:space="0" w:color="auto"/>
              <w:bottom w:val="single" w:sz="4" w:space="0" w:color="auto"/>
              <w:right w:val="single" w:sz="4" w:space="0" w:color="auto"/>
            </w:tcBorders>
            <w:vAlign w:val="center"/>
            <w:hideMark/>
          </w:tcPr>
          <w:p w14:paraId="2B002CA4"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p>
        </w:tc>
        <w:tc>
          <w:tcPr>
            <w:tcW w:w="471" w:type="pct"/>
            <w:tcBorders>
              <w:top w:val="nil"/>
              <w:left w:val="nil"/>
              <w:bottom w:val="single" w:sz="4" w:space="0" w:color="auto"/>
              <w:right w:val="single" w:sz="4" w:space="0" w:color="auto"/>
            </w:tcBorders>
            <w:shd w:val="clear" w:color="000000" w:fill="FFFFFF"/>
            <w:noWrap/>
            <w:vAlign w:val="center"/>
            <w:hideMark/>
          </w:tcPr>
          <w:p w14:paraId="40BD5D21" w14:textId="77777777" w:rsidR="004C19E9" w:rsidRPr="004C19E9" w:rsidRDefault="004C19E9" w:rsidP="004C19E9">
            <w:pPr>
              <w:spacing w:after="0" w:line="240" w:lineRule="auto"/>
              <w:jc w:val="center"/>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Denominator</w:t>
            </w:r>
          </w:p>
        </w:tc>
        <w:tc>
          <w:tcPr>
            <w:tcW w:w="1199" w:type="pct"/>
            <w:tcBorders>
              <w:top w:val="nil"/>
              <w:left w:val="nil"/>
              <w:bottom w:val="single" w:sz="4" w:space="0" w:color="auto"/>
              <w:right w:val="single" w:sz="4" w:space="0" w:color="auto"/>
            </w:tcBorders>
            <w:shd w:val="clear" w:color="000000" w:fill="FFFFFF"/>
            <w:hideMark/>
          </w:tcPr>
          <w:p w14:paraId="3BAAA041"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total number of cancer deaths over same period</w:t>
            </w:r>
          </w:p>
        </w:tc>
        <w:tc>
          <w:tcPr>
            <w:tcW w:w="727" w:type="pct"/>
            <w:tcBorders>
              <w:top w:val="nil"/>
              <w:left w:val="nil"/>
              <w:bottom w:val="single" w:sz="4" w:space="0" w:color="auto"/>
              <w:right w:val="single" w:sz="4" w:space="0" w:color="auto"/>
            </w:tcBorders>
            <w:shd w:val="clear" w:color="000000" w:fill="FFFFFF"/>
            <w:hideMark/>
          </w:tcPr>
          <w:p w14:paraId="1BD2B6EE"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r w:rsidRPr="004C19E9">
              <w:rPr>
                <w:rFonts w:ascii="Calibri" w:eastAsia="Times New Roman" w:hAnsi="Calibri" w:cs="Calibri"/>
                <w:color w:val="000000"/>
                <w:sz w:val="20"/>
                <w:szCs w:val="20"/>
                <w:lang w:val="en-US" w:eastAsia="en-US"/>
              </w:rPr>
              <w:t>CRVS, Population-based surveys, Registries</w:t>
            </w:r>
          </w:p>
        </w:tc>
        <w:tc>
          <w:tcPr>
            <w:tcW w:w="370" w:type="pct"/>
            <w:gridSpan w:val="2"/>
            <w:vMerge/>
            <w:tcBorders>
              <w:top w:val="nil"/>
              <w:left w:val="single" w:sz="4" w:space="0" w:color="auto"/>
              <w:bottom w:val="single" w:sz="4" w:space="0" w:color="auto"/>
              <w:right w:val="single" w:sz="4" w:space="0" w:color="auto"/>
            </w:tcBorders>
            <w:vAlign w:val="center"/>
            <w:hideMark/>
          </w:tcPr>
          <w:p w14:paraId="7DC08FB7" w14:textId="77777777" w:rsidR="004C19E9" w:rsidRPr="004C19E9" w:rsidRDefault="004C19E9" w:rsidP="004C19E9">
            <w:pPr>
              <w:spacing w:after="0" w:line="240" w:lineRule="auto"/>
              <w:rPr>
                <w:rFonts w:ascii="Calibri" w:eastAsia="Times New Roman" w:hAnsi="Calibri" w:cs="Calibri"/>
                <w:sz w:val="20"/>
                <w:szCs w:val="20"/>
                <w:lang w:val="en-US" w:eastAsia="en-US"/>
              </w:rPr>
            </w:pPr>
          </w:p>
        </w:tc>
        <w:tc>
          <w:tcPr>
            <w:tcW w:w="300" w:type="pct"/>
            <w:vMerge/>
            <w:tcBorders>
              <w:top w:val="nil"/>
              <w:left w:val="single" w:sz="4" w:space="0" w:color="auto"/>
              <w:bottom w:val="single" w:sz="4" w:space="0" w:color="auto"/>
              <w:right w:val="single" w:sz="4" w:space="0" w:color="auto"/>
            </w:tcBorders>
            <w:vAlign w:val="center"/>
            <w:hideMark/>
          </w:tcPr>
          <w:p w14:paraId="5F5655B7"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p>
        </w:tc>
        <w:tc>
          <w:tcPr>
            <w:tcW w:w="350" w:type="pct"/>
            <w:vMerge/>
            <w:tcBorders>
              <w:top w:val="nil"/>
              <w:left w:val="single" w:sz="4" w:space="0" w:color="auto"/>
              <w:bottom w:val="single" w:sz="4" w:space="0" w:color="auto"/>
              <w:right w:val="single" w:sz="4" w:space="0" w:color="auto"/>
            </w:tcBorders>
            <w:vAlign w:val="center"/>
            <w:hideMark/>
          </w:tcPr>
          <w:p w14:paraId="0E233F9A"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p>
        </w:tc>
        <w:tc>
          <w:tcPr>
            <w:tcW w:w="296" w:type="pct"/>
            <w:vMerge/>
            <w:tcBorders>
              <w:top w:val="nil"/>
              <w:left w:val="single" w:sz="4" w:space="0" w:color="auto"/>
              <w:bottom w:val="single" w:sz="4" w:space="0" w:color="auto"/>
              <w:right w:val="single" w:sz="4" w:space="0" w:color="auto"/>
            </w:tcBorders>
            <w:vAlign w:val="center"/>
            <w:hideMark/>
          </w:tcPr>
          <w:p w14:paraId="794B9C8E" w14:textId="77777777" w:rsidR="004C19E9" w:rsidRPr="004C19E9" w:rsidRDefault="004C19E9" w:rsidP="004C19E9">
            <w:pPr>
              <w:spacing w:after="0" w:line="240" w:lineRule="auto"/>
              <w:rPr>
                <w:rFonts w:ascii="Calibri" w:eastAsia="Times New Roman" w:hAnsi="Calibri" w:cs="Calibri"/>
                <w:color w:val="000000"/>
                <w:sz w:val="20"/>
                <w:szCs w:val="20"/>
                <w:lang w:val="en-US" w:eastAsia="en-US"/>
              </w:rPr>
            </w:pPr>
          </w:p>
        </w:tc>
      </w:tr>
      <w:tr w:rsidR="004C19E9" w:rsidRPr="004C19E9" w14:paraId="76ACDA11" w14:textId="77777777" w:rsidTr="002A2174">
        <w:trPr>
          <w:trHeight w:val="300"/>
        </w:trPr>
        <w:tc>
          <w:tcPr>
            <w:tcW w:w="5000" w:type="pct"/>
            <w:gridSpan w:val="10"/>
            <w:tcBorders>
              <w:top w:val="single" w:sz="4" w:space="0" w:color="auto"/>
              <w:left w:val="single" w:sz="4" w:space="0" w:color="auto"/>
              <w:bottom w:val="single" w:sz="4" w:space="0" w:color="auto"/>
              <w:right w:val="single" w:sz="4" w:space="0" w:color="auto"/>
            </w:tcBorders>
            <w:shd w:val="clear" w:color="000000" w:fill="FFFFFF"/>
            <w:vAlign w:val="center"/>
            <w:hideMark/>
          </w:tcPr>
          <w:p w14:paraId="00C091FA" w14:textId="69BCAE4C" w:rsidR="004C19E9" w:rsidRPr="007F6EAE" w:rsidRDefault="004C19E9" w:rsidP="004C19E9">
            <w:pPr>
              <w:spacing w:after="0" w:line="240" w:lineRule="auto"/>
              <w:rPr>
                <w:rFonts w:ascii="Calibri" w:eastAsia="Times New Roman" w:hAnsi="Calibri" w:cs="Calibri"/>
                <w:bCs/>
                <w:iCs/>
                <w:color w:val="000000"/>
                <w:sz w:val="20"/>
                <w:szCs w:val="20"/>
                <w:lang w:val="en-US" w:eastAsia="en-US"/>
              </w:rPr>
            </w:pPr>
            <w:r w:rsidRPr="007F6EAE">
              <w:rPr>
                <w:rFonts w:ascii="Calibri" w:eastAsia="Times New Roman" w:hAnsi="Calibri" w:cs="Calibri"/>
                <w:bCs/>
                <w:iCs/>
                <w:color w:val="000000"/>
                <w:sz w:val="20"/>
                <w:szCs w:val="20"/>
                <w:lang w:val="en-US" w:eastAsia="en-US"/>
              </w:rPr>
              <w:t>*</w:t>
            </w:r>
            <w:r w:rsidR="001166FA" w:rsidRPr="007F6EAE">
              <w:rPr>
                <w:rFonts w:ascii="Calibri" w:eastAsia="Times New Roman" w:hAnsi="Calibri" w:cs="Calibri"/>
                <w:bCs/>
                <w:iCs/>
                <w:color w:val="000000"/>
                <w:sz w:val="20"/>
                <w:szCs w:val="20"/>
                <w:lang w:val="en-US" w:eastAsia="en-US"/>
              </w:rPr>
              <w:t xml:space="preserve"> Rescaled using the observed range rescale</w:t>
            </w:r>
            <w:r w:rsidR="001166FA" w:rsidRPr="007F6EAE">
              <w:rPr>
                <w:rFonts w:cstheme="minorHAnsi"/>
                <w:bCs/>
                <w:iCs/>
                <w:sz w:val="20"/>
                <w:szCs w:val="20"/>
              </w:rPr>
              <w:t>: 1 − (X − X’[2.5th percentile])/(X’[97.5th percentile] − X’[2.5th percentile])</w:t>
            </w:r>
            <w:r w:rsidR="001166FA" w:rsidRPr="007F6EAE">
              <w:rPr>
                <w:rFonts w:ascii="Calibri" w:eastAsia="Times New Roman" w:hAnsi="Calibri" w:cs="Calibri"/>
                <w:bCs/>
                <w:iCs/>
                <w:color w:val="000000"/>
                <w:sz w:val="20"/>
                <w:szCs w:val="20"/>
                <w:lang w:val="en-US" w:eastAsia="en-US"/>
              </w:rPr>
              <w:t xml:space="preserve">; </w:t>
            </w:r>
            <w:r w:rsidRPr="007F6EAE">
              <w:rPr>
                <w:rFonts w:ascii="Calibri" w:eastAsia="Times New Roman" w:hAnsi="Calibri" w:cs="Calibri"/>
                <w:bCs/>
                <w:iCs/>
                <w:color w:val="000000"/>
                <w:sz w:val="20"/>
                <w:szCs w:val="20"/>
                <w:lang w:val="en-US" w:eastAsia="en-US"/>
              </w:rPr>
              <w:t>**only for Sub-Saharan Africa; ***only countries where HPV vaccine is introduced, **</w:t>
            </w:r>
            <w:r w:rsidR="001166FA" w:rsidRPr="007F6EAE">
              <w:rPr>
                <w:rFonts w:ascii="Calibri" w:eastAsia="Times New Roman" w:hAnsi="Calibri" w:cs="Calibri"/>
                <w:bCs/>
                <w:iCs/>
                <w:color w:val="000000"/>
                <w:sz w:val="20"/>
                <w:szCs w:val="20"/>
                <w:lang w:val="en-US" w:eastAsia="en-US"/>
              </w:rPr>
              <w:t>**only for NTD endemic countrie</w:t>
            </w:r>
            <w:r w:rsidR="007F6EAE">
              <w:rPr>
                <w:rFonts w:ascii="Calibri" w:eastAsia="Times New Roman" w:hAnsi="Calibri" w:cs="Calibri"/>
                <w:bCs/>
                <w:iCs/>
                <w:color w:val="000000"/>
                <w:sz w:val="20"/>
                <w:szCs w:val="20"/>
                <w:lang w:val="en-US" w:eastAsia="en-US"/>
              </w:rPr>
              <w:t>s</w:t>
            </w:r>
            <w:r w:rsidR="001166FA" w:rsidRPr="007F6EAE">
              <w:rPr>
                <w:rFonts w:ascii="Calibri" w:eastAsia="Times New Roman" w:hAnsi="Calibri" w:cs="Calibri"/>
                <w:bCs/>
                <w:iCs/>
                <w:color w:val="000000"/>
                <w:sz w:val="20"/>
                <w:szCs w:val="20"/>
                <w:lang w:val="en-US" w:eastAsia="en-US"/>
              </w:rPr>
              <w:t>; Shaded cells indicate that new data collection or collation may be necessary for these indicators.</w:t>
            </w:r>
          </w:p>
        </w:tc>
      </w:tr>
    </w:tbl>
    <w:p w14:paraId="4504DF96" w14:textId="6F56A5B2" w:rsidR="00EB529B" w:rsidRPr="00EA342E" w:rsidRDefault="00EB529B" w:rsidP="00094055">
      <w:pPr>
        <w:rPr>
          <w:rFonts w:eastAsia="Times New Roman" w:cs="Times New Roman"/>
          <w:color w:val="1C75BC"/>
          <w:lang w:eastAsia="en-GB"/>
        </w:rPr>
        <w:sectPr w:rsidR="00EB529B" w:rsidRPr="00EA342E" w:rsidSect="000608FF">
          <w:pgSz w:w="16838" w:h="11906" w:orient="landscape"/>
          <w:pgMar w:top="1440" w:right="1440" w:bottom="1440" w:left="1440" w:header="720" w:footer="720" w:gutter="0"/>
          <w:cols w:space="720"/>
          <w:docGrid w:linePitch="360"/>
        </w:sectPr>
      </w:pPr>
    </w:p>
    <w:p w14:paraId="30BEBDC2" w14:textId="77777777" w:rsidR="00CB1B95" w:rsidRPr="00573631" w:rsidRDefault="00CB1B95" w:rsidP="00CB1B95">
      <w:pPr>
        <w:pBdr>
          <w:bottom w:val="single" w:sz="12" w:space="4" w:color="DDDDDD"/>
        </w:pBdr>
        <w:shd w:val="clear" w:color="auto" w:fill="FFFFFF"/>
        <w:spacing w:after="0"/>
        <w:outlineLvl w:val="2"/>
        <w:rPr>
          <w:rFonts w:eastAsia="Times New Roman" w:cs="Times New Roman"/>
          <w:color w:val="1C75BC"/>
          <w:sz w:val="36"/>
          <w:szCs w:val="36"/>
          <w:lang w:eastAsia="en-GB"/>
        </w:rPr>
      </w:pPr>
      <w:r w:rsidRPr="00573631">
        <w:rPr>
          <w:rFonts w:eastAsia="Times New Roman" w:cs="Times New Roman"/>
          <w:color w:val="1C75BC"/>
          <w:sz w:val="36"/>
          <w:szCs w:val="36"/>
          <w:lang w:eastAsia="en-GB"/>
        </w:rPr>
        <w:t>References</w:t>
      </w:r>
    </w:p>
    <w:p w14:paraId="208295D8" w14:textId="77777777" w:rsidR="00CB1B95" w:rsidRDefault="00CB1B95" w:rsidP="00CB1B95">
      <w:pPr>
        <w:shd w:val="clear" w:color="auto" w:fill="FFFFFF"/>
        <w:spacing w:after="0"/>
        <w:rPr>
          <w:rFonts w:eastAsia="Times New Roman" w:cs="Times New Roman"/>
          <w:b/>
          <w:bCs/>
          <w:color w:val="4A4A4A"/>
          <w:sz w:val="21"/>
          <w:szCs w:val="21"/>
          <w:lang w:eastAsia="en-GB"/>
        </w:rPr>
      </w:pPr>
    </w:p>
    <w:p w14:paraId="44F47BB5" w14:textId="77CF3216" w:rsidR="00CB1B95" w:rsidRPr="007F6EAE" w:rsidRDefault="00CB1B95" w:rsidP="001B20FE">
      <w:pPr>
        <w:pStyle w:val="ListParagraph"/>
        <w:numPr>
          <w:ilvl w:val="0"/>
          <w:numId w:val="12"/>
        </w:numPr>
        <w:shd w:val="clear" w:color="auto" w:fill="FFFFFF"/>
        <w:spacing w:after="0"/>
        <w:rPr>
          <w:rStyle w:val="Hyperlink"/>
          <w:rFonts w:eastAsia="Times New Roman" w:cs="Times New Roman"/>
          <w:color w:val="4A4A4A"/>
          <w:u w:val="none"/>
          <w:lang w:eastAsia="en-GB"/>
        </w:rPr>
      </w:pPr>
      <w:r w:rsidRPr="007F6EAE">
        <w:rPr>
          <w:rFonts w:eastAsia="Times New Roman" w:cs="Times New Roman"/>
          <w:color w:val="4A4A4A"/>
          <w:lang w:eastAsia="en-GB"/>
        </w:rPr>
        <w:t xml:space="preserve">WHO and World Bank (2014) </w:t>
      </w:r>
      <w:r w:rsidRPr="007F6EAE">
        <w:rPr>
          <w:rFonts w:eastAsia="Times New Roman" w:cs="Times New Roman"/>
          <w:i/>
          <w:iCs/>
          <w:color w:val="4A4A4A"/>
          <w:lang w:eastAsia="en-GB"/>
        </w:rPr>
        <w:t xml:space="preserve">Monitoring Progress towards Universal Health Coverage at Country and Global Levels: </w:t>
      </w:r>
      <w:r w:rsidR="001B20FE" w:rsidRPr="007F6EAE">
        <w:rPr>
          <w:rFonts w:eastAsia="Times New Roman" w:cs="Times New Roman"/>
          <w:i/>
          <w:iCs/>
          <w:color w:val="4A4A4A"/>
          <w:lang w:eastAsia="en-GB"/>
        </w:rPr>
        <w:t xml:space="preserve">Framework, Measures and Targets: </w:t>
      </w:r>
      <w:hyperlink r:id="rId13" w:history="1">
        <w:r w:rsidRPr="007F6EAE">
          <w:rPr>
            <w:rStyle w:val="Hyperlink"/>
            <w:rFonts w:eastAsia="Times New Roman" w:cs="Times New Roman"/>
            <w:lang w:eastAsia="en-GB"/>
          </w:rPr>
          <w:t>http://www.who.int/healthinfo/universal_health_coverage/report/2014/en/</w:t>
        </w:r>
      </w:hyperlink>
    </w:p>
    <w:p w14:paraId="60259B2A" w14:textId="00C60789" w:rsidR="001B20FE" w:rsidRPr="007F6EAE" w:rsidRDefault="001B20FE" w:rsidP="001B20FE">
      <w:pPr>
        <w:pStyle w:val="ListParagraph"/>
        <w:numPr>
          <w:ilvl w:val="0"/>
          <w:numId w:val="12"/>
        </w:numPr>
        <w:shd w:val="clear" w:color="auto" w:fill="FFFFFF"/>
        <w:spacing w:after="0"/>
        <w:rPr>
          <w:rFonts w:eastAsia="Times New Roman" w:cs="Times New Roman"/>
          <w:color w:val="4A4A4A"/>
          <w:lang w:eastAsia="en-GB"/>
        </w:rPr>
      </w:pPr>
      <w:r w:rsidRPr="007F6EAE">
        <w:rPr>
          <w:rFonts w:cs="Times New Roman"/>
        </w:rPr>
        <w:t xml:space="preserve">United Nations General Assembly. Transforming our world: the 2030 Agenda for Sustainable Development. New York: United Nations, 2015 </w:t>
      </w:r>
      <w:hyperlink r:id="rId14" w:history="1">
        <w:r w:rsidRPr="007F6EAE">
          <w:rPr>
            <w:rStyle w:val="Hyperlink"/>
            <w:rFonts w:cs="Times New Roman"/>
          </w:rPr>
          <w:t>http://www.un.org/ga/search/view_doc.asp?symbol=A/RES/70/1&amp;Lang=E</w:t>
        </w:r>
      </w:hyperlink>
      <w:r w:rsidRPr="007F6EAE">
        <w:rPr>
          <w:rFonts w:cs="Times New Roman"/>
        </w:rPr>
        <w:t>, (accessed June 7, 2018)</w:t>
      </w:r>
    </w:p>
    <w:p w14:paraId="5CEA0C03" w14:textId="77777777" w:rsidR="00741FC1" w:rsidRPr="007F6EAE" w:rsidRDefault="00741FC1" w:rsidP="00741FC1">
      <w:pPr>
        <w:pStyle w:val="ListParagraph"/>
        <w:numPr>
          <w:ilvl w:val="0"/>
          <w:numId w:val="12"/>
        </w:numPr>
        <w:shd w:val="clear" w:color="auto" w:fill="FFFFFF"/>
        <w:spacing w:after="0"/>
        <w:rPr>
          <w:rStyle w:val="Hyperlink"/>
          <w:rFonts w:eastAsia="Times New Roman" w:cs="Times New Roman"/>
          <w:color w:val="4A4A4A"/>
          <w:u w:val="none"/>
          <w:lang w:eastAsia="en-GB"/>
        </w:rPr>
      </w:pPr>
      <w:r w:rsidRPr="007F6EAE">
        <w:t xml:space="preserve">Tracking universal health coverage: 2017 Global Monitoring Report, WHO and World Bank, 2017: </w:t>
      </w:r>
      <w:hyperlink r:id="rId15" w:history="1">
        <w:r w:rsidRPr="007F6EAE">
          <w:rPr>
            <w:rStyle w:val="Hyperlink"/>
            <w:rFonts w:eastAsia="Times New Roman" w:cs="Times New Roman"/>
            <w:lang w:eastAsia="en-GB"/>
          </w:rPr>
          <w:t>http://www.who.int/healthinfo/universal_health_coverage/report/2017/en/</w:t>
        </w:r>
      </w:hyperlink>
    </w:p>
    <w:p w14:paraId="29C597B7" w14:textId="19DBACE7" w:rsidR="00741FC1" w:rsidRPr="007F6EAE" w:rsidRDefault="00741FC1" w:rsidP="00741FC1">
      <w:pPr>
        <w:pStyle w:val="ListParagraph"/>
        <w:numPr>
          <w:ilvl w:val="0"/>
          <w:numId w:val="12"/>
        </w:numPr>
        <w:shd w:val="clear" w:color="auto" w:fill="FFFFFF"/>
        <w:spacing w:after="0"/>
        <w:rPr>
          <w:rFonts w:eastAsia="Times New Roman" w:cs="Times New Roman"/>
          <w:color w:val="4A4A4A"/>
          <w:lang w:eastAsia="en-GB"/>
        </w:rPr>
      </w:pPr>
      <w:r w:rsidRPr="007F6EAE">
        <w:t xml:space="preserve">Tracking universal health coverage: first Global Monitoring Report, WHO and World Bank, 2015: </w:t>
      </w:r>
      <w:hyperlink r:id="rId16" w:history="1">
        <w:r w:rsidRPr="007F6EAE">
          <w:rPr>
            <w:rStyle w:val="Hyperlink"/>
          </w:rPr>
          <w:t>http://www.who.int/healthinfo/universal_health_coverage/report/2015/en/</w:t>
        </w:r>
      </w:hyperlink>
    </w:p>
    <w:p w14:paraId="5C15A4AF" w14:textId="1C5A0752" w:rsidR="00741FC1" w:rsidRPr="007F6EAE" w:rsidRDefault="00741FC1" w:rsidP="00741FC1">
      <w:pPr>
        <w:pStyle w:val="ListParagraph"/>
        <w:numPr>
          <w:ilvl w:val="0"/>
          <w:numId w:val="12"/>
        </w:numPr>
        <w:shd w:val="clear" w:color="auto" w:fill="FFFFFF"/>
        <w:spacing w:after="0"/>
        <w:rPr>
          <w:rFonts w:eastAsia="Times New Roman" w:cs="Times New Roman"/>
          <w:color w:val="4A4A4A"/>
          <w:lang w:eastAsia="en-GB"/>
        </w:rPr>
      </w:pPr>
      <w:r w:rsidRPr="007F6EAE">
        <w:t xml:space="preserve">Global List of 100 Core Health Indicators: </w:t>
      </w:r>
      <w:hyperlink r:id="rId17" w:history="1">
        <w:r w:rsidRPr="007F6EAE">
          <w:rPr>
            <w:rStyle w:val="Hyperlink"/>
          </w:rPr>
          <w:t>http://apps.who.int/iris/bitstream/handle/10665/259951/WHO-HIS-IER-GPM-2018.1-eng.pdf;jsessionid=2D63E41A028E0E54F70AC8FFA0CB7DA2?sequence=1</w:t>
        </w:r>
      </w:hyperlink>
      <w:r w:rsidRPr="007F6EAE">
        <w:t xml:space="preserve">. </w:t>
      </w:r>
    </w:p>
    <w:p w14:paraId="62F2EA59" w14:textId="77777777" w:rsidR="001B20FE" w:rsidRPr="007F6EAE" w:rsidRDefault="001B20FE" w:rsidP="001B20FE">
      <w:pPr>
        <w:pStyle w:val="ListParagraph"/>
        <w:numPr>
          <w:ilvl w:val="0"/>
          <w:numId w:val="12"/>
        </w:numPr>
        <w:shd w:val="clear" w:color="auto" w:fill="FFFFFF"/>
        <w:spacing w:after="0"/>
        <w:rPr>
          <w:rFonts w:eastAsia="Times New Roman" w:cs="Times New Roman"/>
          <w:color w:val="4A4A4A"/>
          <w:lang w:eastAsia="en-GB"/>
        </w:rPr>
      </w:pPr>
      <w:r w:rsidRPr="007F6EAE">
        <w:rPr>
          <w:rFonts w:cs="Times New Roman"/>
        </w:rPr>
        <w:t xml:space="preserve">UNIVERSAL HEALTH COVERAGE IN AFRICA: FROM CONCEPT TO ACTION. </w:t>
      </w:r>
      <w:hyperlink r:id="rId18" w:history="1">
        <w:r w:rsidRPr="007F6EAE">
          <w:rPr>
            <w:rStyle w:val="Hyperlink"/>
            <w:rFonts w:cs="Times New Roman"/>
          </w:rPr>
          <w:t>http://www.who.int/health_financing/policy-framework/auc-who-2014-doc1-en.pdf?ua=1</w:t>
        </w:r>
      </w:hyperlink>
      <w:r w:rsidRPr="007F6EAE">
        <w:rPr>
          <w:rFonts w:cs="Times New Roman"/>
        </w:rPr>
        <w:t>, (accessed Sept 19, 2018).</w:t>
      </w:r>
    </w:p>
    <w:p w14:paraId="66D9F3A2" w14:textId="77777777" w:rsidR="001B20FE" w:rsidRPr="007F6EAE" w:rsidRDefault="001B20FE" w:rsidP="001B20FE">
      <w:pPr>
        <w:pStyle w:val="ListParagraph"/>
        <w:numPr>
          <w:ilvl w:val="0"/>
          <w:numId w:val="12"/>
        </w:numPr>
        <w:shd w:val="clear" w:color="auto" w:fill="FFFFFF"/>
        <w:spacing w:after="0"/>
        <w:rPr>
          <w:rFonts w:eastAsia="Times New Roman" w:cs="Times New Roman"/>
          <w:color w:val="4A4A4A"/>
          <w:lang w:eastAsia="en-GB"/>
        </w:rPr>
      </w:pPr>
      <w:r w:rsidRPr="007F6EAE">
        <w:rPr>
          <w:rFonts w:cs="Times New Roman"/>
        </w:rPr>
        <w:t xml:space="preserve">Regional Strategy for Universal Health Coverage. </w:t>
      </w:r>
      <w:hyperlink r:id="rId19" w:history="1">
        <w:r w:rsidRPr="007F6EAE">
          <w:rPr>
            <w:rStyle w:val="Hyperlink"/>
            <w:rFonts w:cs="Times New Roman"/>
          </w:rPr>
          <w:t>http://www.searo.who.int/entity/health_situation_trends/sear_strategy_for_uhc1.pdf?ua=1</w:t>
        </w:r>
      </w:hyperlink>
      <w:r w:rsidRPr="007F6EAE">
        <w:rPr>
          <w:rFonts w:cs="Times New Roman"/>
        </w:rPr>
        <w:t>. (accessed Sept 19, 2018).</w:t>
      </w:r>
    </w:p>
    <w:p w14:paraId="4B5375A8" w14:textId="42B7F767" w:rsidR="001B20FE" w:rsidRPr="007F6EAE" w:rsidRDefault="001B20FE" w:rsidP="001B20FE">
      <w:pPr>
        <w:pStyle w:val="ListParagraph"/>
        <w:numPr>
          <w:ilvl w:val="0"/>
          <w:numId w:val="12"/>
        </w:numPr>
        <w:shd w:val="clear" w:color="auto" w:fill="FFFFFF"/>
        <w:spacing w:after="0"/>
        <w:rPr>
          <w:rFonts w:eastAsia="Times New Roman" w:cs="Times New Roman"/>
          <w:color w:val="4A4A4A"/>
          <w:lang w:eastAsia="en-GB"/>
        </w:rPr>
      </w:pPr>
      <w:r w:rsidRPr="007F6EAE">
        <w:rPr>
          <w:rFonts w:cs="Times New Roman"/>
        </w:rPr>
        <w:t xml:space="preserve">RESOLUTION CD53.R14 STRATEGY FOR UNIVERSAL ACCESS TO HEALTH AND UNIVERSAL HEALTH COVERAGE. </w:t>
      </w:r>
      <w:hyperlink r:id="rId20" w:history="1">
        <w:r w:rsidRPr="007F6EAE">
          <w:rPr>
            <w:rStyle w:val="Hyperlink"/>
            <w:rFonts w:cs="Times New Roman"/>
          </w:rPr>
          <w:t>http://www.who.int/health_financing/policy-framework/paho-resolution-CD53-R14-e.pdf</w:t>
        </w:r>
      </w:hyperlink>
      <w:r w:rsidRPr="007F6EAE">
        <w:rPr>
          <w:rFonts w:cs="Times New Roman"/>
        </w:rPr>
        <w:t xml:space="preserve">,  (accessed Sept 19, 2018). </w:t>
      </w:r>
    </w:p>
    <w:p w14:paraId="509967F0" w14:textId="77777777" w:rsidR="00531887" w:rsidRPr="007F6EAE" w:rsidRDefault="001B20FE" w:rsidP="00531887">
      <w:pPr>
        <w:pStyle w:val="ListParagraph"/>
        <w:numPr>
          <w:ilvl w:val="0"/>
          <w:numId w:val="12"/>
        </w:numPr>
        <w:shd w:val="clear" w:color="auto" w:fill="FFFFFF"/>
        <w:spacing w:after="0"/>
        <w:rPr>
          <w:rFonts w:eastAsia="Times New Roman" w:cs="Times New Roman"/>
          <w:color w:val="4A4A4A"/>
          <w:lang w:eastAsia="en-GB"/>
        </w:rPr>
      </w:pPr>
      <w:r w:rsidRPr="007F6EAE">
        <w:rPr>
          <w:rFonts w:cs="Times New Roman"/>
        </w:rPr>
        <w:t xml:space="preserve">Boerma T, Eozenou P, Evans D, Evans T, Kieny M-P, Wagstaff A. Monitoring Progress towards Universal Health Coverage at Country and Global Levels. </w:t>
      </w:r>
      <w:r w:rsidRPr="007F6EAE">
        <w:rPr>
          <w:rFonts w:cs="Times New Roman"/>
          <w:i/>
          <w:iCs/>
        </w:rPr>
        <w:t>PLoS Med</w:t>
      </w:r>
      <w:r w:rsidRPr="007F6EAE">
        <w:rPr>
          <w:rFonts w:cs="Times New Roman"/>
        </w:rPr>
        <w:t xml:space="preserve"> 2014; </w:t>
      </w:r>
      <w:r w:rsidRPr="007F6EAE">
        <w:rPr>
          <w:rFonts w:cs="Times New Roman"/>
          <w:bCs/>
        </w:rPr>
        <w:t>11</w:t>
      </w:r>
      <w:r w:rsidRPr="007F6EAE">
        <w:rPr>
          <w:rFonts w:cs="Times New Roman"/>
        </w:rPr>
        <w:t>: e1001731</w:t>
      </w:r>
      <w:r w:rsidR="00531887" w:rsidRPr="007F6EAE">
        <w:rPr>
          <w:rFonts w:cs="Times New Roman"/>
        </w:rPr>
        <w:t>.</w:t>
      </w:r>
    </w:p>
    <w:p w14:paraId="1C8B9CC5" w14:textId="28353E80" w:rsidR="001B20FE" w:rsidRPr="007F6EAE" w:rsidRDefault="001B20FE" w:rsidP="00531887">
      <w:pPr>
        <w:pStyle w:val="ListParagraph"/>
        <w:numPr>
          <w:ilvl w:val="0"/>
          <w:numId w:val="12"/>
        </w:numPr>
        <w:shd w:val="clear" w:color="auto" w:fill="FFFFFF"/>
        <w:spacing w:after="0"/>
        <w:rPr>
          <w:rFonts w:eastAsia="Times New Roman" w:cs="Times New Roman"/>
          <w:color w:val="4A4A4A"/>
          <w:lang w:eastAsia="en-GB"/>
        </w:rPr>
      </w:pPr>
      <w:r w:rsidRPr="007F6EAE">
        <w:rPr>
          <w:rFonts w:cs="Times New Roman"/>
        </w:rPr>
        <w:t xml:space="preserve">Hogan DR, Stevens GA, Hosseinpoor AR, Boerma T. Monitoring universal health coverage within the Sustainable Development Goals: development and baseline data for an index of essential health services. </w:t>
      </w:r>
      <w:r w:rsidRPr="007F6EAE">
        <w:rPr>
          <w:rFonts w:cs="Times New Roman"/>
          <w:i/>
          <w:iCs/>
        </w:rPr>
        <w:t>Lancet Glob Health</w:t>
      </w:r>
      <w:r w:rsidRPr="007F6EAE">
        <w:rPr>
          <w:rFonts w:cs="Times New Roman"/>
        </w:rPr>
        <w:t xml:space="preserve"> 2018; </w:t>
      </w:r>
      <w:r w:rsidRPr="007F6EAE">
        <w:rPr>
          <w:rFonts w:cs="Times New Roman"/>
          <w:bCs/>
        </w:rPr>
        <w:t>6</w:t>
      </w:r>
      <w:r w:rsidRPr="007F6EAE">
        <w:rPr>
          <w:rFonts w:cs="Times New Roman"/>
        </w:rPr>
        <w:t>: e152–68</w:t>
      </w:r>
      <w:r w:rsidR="00531887" w:rsidRPr="007F6EAE">
        <w:rPr>
          <w:rFonts w:cs="Times New Roman"/>
        </w:rPr>
        <w:t xml:space="preserve"> (</w:t>
      </w:r>
      <w:hyperlink r:id="rId21" w:history="1">
        <w:r w:rsidR="00531887" w:rsidRPr="007F6EAE">
          <w:rPr>
            <w:rStyle w:val="Hyperlink"/>
            <w:rFonts w:eastAsia="Times New Roman" w:cs="Times New Roman"/>
            <w:lang w:eastAsia="en-GB"/>
          </w:rPr>
          <w:t>http://www.thelancet.com/pdfs/journals/langlo/PIIS2214-109X(17)30472-2.pdf</w:t>
        </w:r>
      </w:hyperlink>
      <w:r w:rsidR="00531887" w:rsidRPr="007F6EAE">
        <w:rPr>
          <w:rStyle w:val="Hyperlink"/>
          <w:rFonts w:eastAsia="Times New Roman" w:cs="Times New Roman"/>
          <w:lang w:eastAsia="en-GB"/>
        </w:rPr>
        <w:t>)</w:t>
      </w:r>
      <w:r w:rsidRPr="007F6EAE">
        <w:rPr>
          <w:rFonts w:cs="Times New Roman"/>
        </w:rPr>
        <w:t>.</w:t>
      </w:r>
    </w:p>
    <w:p w14:paraId="00264495" w14:textId="77777777" w:rsidR="001B20FE" w:rsidRPr="007F6EAE" w:rsidRDefault="001B20FE" w:rsidP="001B20FE">
      <w:pPr>
        <w:pStyle w:val="ListParagraph"/>
        <w:numPr>
          <w:ilvl w:val="0"/>
          <w:numId w:val="12"/>
        </w:numPr>
        <w:shd w:val="clear" w:color="auto" w:fill="FFFFFF"/>
        <w:spacing w:after="0"/>
        <w:rPr>
          <w:rFonts w:eastAsia="Times New Roman" w:cs="Times New Roman"/>
          <w:color w:val="4A4A4A"/>
          <w:lang w:eastAsia="en-GB"/>
        </w:rPr>
      </w:pPr>
      <w:r w:rsidRPr="007F6EAE">
        <w:rPr>
          <w:rFonts w:cs="Times New Roman"/>
        </w:rPr>
        <w:t xml:space="preserve">Wagstaff A, Cotlear D, Eozenou PH-V, Buisman LR. Measuring progress towards universal health coverage: with an application to 24 developing countries. </w:t>
      </w:r>
      <w:r w:rsidRPr="007F6EAE">
        <w:rPr>
          <w:rFonts w:cs="Times New Roman"/>
          <w:i/>
          <w:iCs/>
        </w:rPr>
        <w:t>Oxf Rev Econ Policy</w:t>
      </w:r>
      <w:r w:rsidRPr="007F6EAE">
        <w:rPr>
          <w:rFonts w:cs="Times New Roman"/>
        </w:rPr>
        <w:t xml:space="preserve"> 2016; </w:t>
      </w:r>
      <w:r w:rsidRPr="007F6EAE">
        <w:rPr>
          <w:rFonts w:cs="Times New Roman"/>
          <w:bCs/>
        </w:rPr>
        <w:t>32</w:t>
      </w:r>
      <w:r w:rsidRPr="007F6EAE">
        <w:rPr>
          <w:rFonts w:cs="Times New Roman"/>
        </w:rPr>
        <w:t xml:space="preserve">: 147–89. </w:t>
      </w:r>
    </w:p>
    <w:p w14:paraId="6E0EA1C7" w14:textId="77777777" w:rsidR="001B20FE" w:rsidRPr="007F6EAE" w:rsidRDefault="001B20FE" w:rsidP="001B20FE">
      <w:pPr>
        <w:pStyle w:val="ListParagraph"/>
        <w:numPr>
          <w:ilvl w:val="0"/>
          <w:numId w:val="12"/>
        </w:numPr>
        <w:shd w:val="clear" w:color="auto" w:fill="FFFFFF"/>
        <w:spacing w:after="0"/>
        <w:rPr>
          <w:rFonts w:eastAsia="Times New Roman" w:cs="Times New Roman"/>
          <w:color w:val="4A4A4A"/>
          <w:lang w:eastAsia="en-GB"/>
        </w:rPr>
      </w:pPr>
      <w:r w:rsidRPr="007F6EAE">
        <w:rPr>
          <w:rFonts w:cs="Times New Roman"/>
          <w:lang w:val="fr-CH"/>
        </w:rPr>
        <w:t xml:space="preserve">Lim SS, Allen K, Bhutta ZA, </w:t>
      </w:r>
      <w:r w:rsidRPr="007F6EAE">
        <w:rPr>
          <w:rFonts w:cs="Times New Roman"/>
          <w:i/>
          <w:iCs/>
          <w:lang w:val="fr-CH"/>
        </w:rPr>
        <w:t>et al.</w:t>
      </w:r>
      <w:r w:rsidRPr="007F6EAE">
        <w:rPr>
          <w:rFonts w:cs="Times New Roman"/>
          <w:lang w:val="fr-CH"/>
        </w:rPr>
        <w:t xml:space="preserve"> </w:t>
      </w:r>
      <w:r w:rsidRPr="007F6EAE">
        <w:rPr>
          <w:rFonts w:cs="Times New Roman"/>
        </w:rPr>
        <w:t xml:space="preserve">Measuring the health-related Sustainable Development Goals in 188 countries: a baseline analysis from the Global Burden of Disease Study 2015. </w:t>
      </w:r>
      <w:r w:rsidRPr="007F6EAE">
        <w:rPr>
          <w:rFonts w:cs="Times New Roman"/>
          <w:i/>
          <w:iCs/>
        </w:rPr>
        <w:t>The Lancet</w:t>
      </w:r>
      <w:r w:rsidRPr="007F6EAE">
        <w:rPr>
          <w:rFonts w:cs="Times New Roman"/>
        </w:rPr>
        <w:t xml:space="preserve"> 2016; </w:t>
      </w:r>
      <w:r w:rsidRPr="007F6EAE">
        <w:rPr>
          <w:rFonts w:cs="Times New Roman"/>
          <w:bCs/>
        </w:rPr>
        <w:t>388</w:t>
      </w:r>
      <w:r w:rsidRPr="007F6EAE">
        <w:rPr>
          <w:rFonts w:cs="Times New Roman"/>
        </w:rPr>
        <w:t>: 1813–50.</w:t>
      </w:r>
    </w:p>
    <w:p w14:paraId="0B58BCE6" w14:textId="77777777" w:rsidR="00531887" w:rsidRPr="007F6EAE" w:rsidRDefault="001B20FE" w:rsidP="00531887">
      <w:pPr>
        <w:pStyle w:val="ListParagraph"/>
        <w:numPr>
          <w:ilvl w:val="0"/>
          <w:numId w:val="12"/>
        </w:numPr>
        <w:shd w:val="clear" w:color="auto" w:fill="FFFFFF"/>
        <w:spacing w:after="0"/>
        <w:rPr>
          <w:rFonts w:eastAsia="Times New Roman" w:cs="Times New Roman"/>
          <w:color w:val="4A4A4A"/>
          <w:lang w:eastAsia="en-GB"/>
        </w:rPr>
      </w:pPr>
      <w:r w:rsidRPr="007F6EAE">
        <w:rPr>
          <w:rFonts w:cs="Times New Roman"/>
        </w:rPr>
        <w:t xml:space="preserve">Fullman N, Barber RM, Abajobir AA, </w:t>
      </w:r>
      <w:r w:rsidRPr="007F6EAE">
        <w:rPr>
          <w:rFonts w:cs="Times New Roman"/>
          <w:i/>
          <w:iCs/>
        </w:rPr>
        <w:t>et al.</w:t>
      </w:r>
      <w:r w:rsidRPr="007F6EAE">
        <w:rPr>
          <w:rFonts w:cs="Times New Roman"/>
        </w:rPr>
        <w:t xml:space="preserve"> Measuring progress and projecting attainment on the basis of past trends of the health-related Sustainable Development Goals in 188 countries: an analysis from the Global Burden of Disease Study 2016. </w:t>
      </w:r>
      <w:r w:rsidRPr="007F6EAE">
        <w:rPr>
          <w:rFonts w:cs="Times New Roman"/>
          <w:i/>
          <w:iCs/>
        </w:rPr>
        <w:t>The Lancet</w:t>
      </w:r>
      <w:r w:rsidRPr="007F6EAE">
        <w:rPr>
          <w:rFonts w:cs="Times New Roman"/>
        </w:rPr>
        <w:t xml:space="preserve"> 2017; </w:t>
      </w:r>
      <w:r w:rsidRPr="007F6EAE">
        <w:rPr>
          <w:rFonts w:cs="Times New Roman"/>
          <w:bCs/>
        </w:rPr>
        <w:t>390</w:t>
      </w:r>
      <w:r w:rsidRPr="007F6EAE">
        <w:rPr>
          <w:rFonts w:cs="Times New Roman"/>
        </w:rPr>
        <w:t>: 1423–59</w:t>
      </w:r>
      <w:r w:rsidR="00531887" w:rsidRPr="007F6EAE">
        <w:rPr>
          <w:rFonts w:cs="Times New Roman"/>
        </w:rPr>
        <w:t xml:space="preserve">. </w:t>
      </w:r>
    </w:p>
    <w:p w14:paraId="69A79F13" w14:textId="77777777" w:rsidR="00531887" w:rsidRPr="007F6EAE" w:rsidRDefault="00531887" w:rsidP="00531887">
      <w:pPr>
        <w:pStyle w:val="ListParagraph"/>
        <w:numPr>
          <w:ilvl w:val="0"/>
          <w:numId w:val="12"/>
        </w:numPr>
        <w:shd w:val="clear" w:color="auto" w:fill="FFFFFF"/>
        <w:spacing w:after="0"/>
        <w:rPr>
          <w:rFonts w:eastAsia="Times New Roman" w:cs="Times New Roman"/>
          <w:color w:val="4A4A4A"/>
          <w:lang w:eastAsia="en-GB"/>
        </w:rPr>
      </w:pPr>
      <w:r w:rsidRPr="007F6EAE">
        <w:rPr>
          <w:rFonts w:cs="Times New Roman"/>
        </w:rPr>
        <w:t xml:space="preserve">Wagstaff A, Dmytraczenko T, Almeida G, </w:t>
      </w:r>
      <w:r w:rsidRPr="007F6EAE">
        <w:rPr>
          <w:rFonts w:cs="Times New Roman"/>
          <w:i/>
          <w:iCs/>
        </w:rPr>
        <w:t>et al.</w:t>
      </w:r>
      <w:r w:rsidRPr="007F6EAE">
        <w:rPr>
          <w:rFonts w:cs="Times New Roman"/>
        </w:rPr>
        <w:t xml:space="preserve"> Assessing Latin America’s Progress Toward Achieving Universal Health Coverage. </w:t>
      </w:r>
      <w:r w:rsidRPr="007F6EAE">
        <w:rPr>
          <w:rFonts w:cs="Times New Roman"/>
          <w:i/>
          <w:iCs/>
        </w:rPr>
        <w:t>Health Aff (Millwood)</w:t>
      </w:r>
      <w:r w:rsidRPr="007F6EAE">
        <w:rPr>
          <w:rFonts w:cs="Times New Roman"/>
        </w:rPr>
        <w:t xml:space="preserve"> 2015; </w:t>
      </w:r>
      <w:r w:rsidRPr="007F6EAE">
        <w:rPr>
          <w:rFonts w:cs="Times New Roman"/>
          <w:bCs/>
        </w:rPr>
        <w:t>34</w:t>
      </w:r>
      <w:r w:rsidRPr="007F6EAE">
        <w:rPr>
          <w:rFonts w:cs="Times New Roman"/>
        </w:rPr>
        <w:t>: 1704–12.</w:t>
      </w:r>
    </w:p>
    <w:p w14:paraId="351EC0D0" w14:textId="77777777" w:rsidR="00531887" w:rsidRPr="007F6EAE" w:rsidRDefault="00531887" w:rsidP="00531887">
      <w:pPr>
        <w:pStyle w:val="ListParagraph"/>
        <w:numPr>
          <w:ilvl w:val="0"/>
          <w:numId w:val="12"/>
        </w:numPr>
        <w:shd w:val="clear" w:color="auto" w:fill="FFFFFF"/>
        <w:spacing w:after="0"/>
        <w:rPr>
          <w:rFonts w:eastAsia="Times New Roman" w:cs="Times New Roman"/>
          <w:color w:val="4A4A4A"/>
          <w:lang w:eastAsia="en-GB"/>
        </w:rPr>
      </w:pPr>
      <w:r w:rsidRPr="007F6EAE">
        <w:rPr>
          <w:rFonts w:cs="Times New Roman"/>
        </w:rPr>
        <w:t xml:space="preserve">Leegwater A, Wong W, Avila C. A concise, health service coverage index for monitoring progress towards universal health coverage. </w:t>
      </w:r>
      <w:r w:rsidRPr="007F6EAE">
        <w:rPr>
          <w:rFonts w:cs="Times New Roman"/>
          <w:i/>
          <w:iCs/>
        </w:rPr>
        <w:t>BMC Health Serv Res</w:t>
      </w:r>
      <w:r w:rsidRPr="007F6EAE">
        <w:rPr>
          <w:rFonts w:cs="Times New Roman"/>
        </w:rPr>
        <w:t xml:space="preserve"> 2015; </w:t>
      </w:r>
      <w:r w:rsidRPr="007F6EAE">
        <w:rPr>
          <w:rFonts w:cs="Times New Roman"/>
          <w:bCs/>
        </w:rPr>
        <w:t>15</w:t>
      </w:r>
      <w:r w:rsidRPr="007F6EAE">
        <w:rPr>
          <w:rFonts w:cs="Times New Roman"/>
        </w:rPr>
        <w:t>: 230</w:t>
      </w:r>
    </w:p>
    <w:p w14:paraId="0FB39C71" w14:textId="77777777" w:rsidR="00531887" w:rsidRPr="007F6EAE" w:rsidRDefault="00531887" w:rsidP="00531887">
      <w:pPr>
        <w:pStyle w:val="ListParagraph"/>
        <w:numPr>
          <w:ilvl w:val="0"/>
          <w:numId w:val="12"/>
        </w:numPr>
        <w:shd w:val="clear" w:color="auto" w:fill="FFFFFF"/>
        <w:spacing w:after="0"/>
        <w:rPr>
          <w:rFonts w:eastAsia="Times New Roman" w:cs="Times New Roman"/>
          <w:color w:val="4A4A4A"/>
          <w:lang w:eastAsia="en-GB"/>
        </w:rPr>
      </w:pPr>
      <w:r w:rsidRPr="007F6EAE">
        <w:rPr>
          <w:rFonts w:cs="Times New Roman"/>
        </w:rPr>
        <w:t xml:space="preserve">Kruk ME, Gage AD, Joseph NT, Danaei G, García-Saisó S, Salomon JA. Mortality due to low-quality health systems in the universal health coverage era: a systematic analysis of amenable deaths in 137 countries. </w:t>
      </w:r>
      <w:r w:rsidRPr="007F6EAE">
        <w:rPr>
          <w:rFonts w:cs="Times New Roman"/>
          <w:i/>
          <w:iCs/>
        </w:rPr>
        <w:t>The Lancet</w:t>
      </w:r>
      <w:r w:rsidRPr="007F6EAE">
        <w:rPr>
          <w:rFonts w:cs="Times New Roman"/>
        </w:rPr>
        <w:t xml:space="preserve"> 2018; </w:t>
      </w:r>
      <w:r w:rsidRPr="007F6EAE">
        <w:rPr>
          <w:rFonts w:cs="Times New Roman"/>
          <w:bCs/>
        </w:rPr>
        <w:t>0</w:t>
      </w:r>
      <w:r w:rsidRPr="007F6EAE">
        <w:rPr>
          <w:rFonts w:cs="Times New Roman"/>
        </w:rPr>
        <w:t>. DOI:10.1016/S0140-6736(18)31668-4.</w:t>
      </w:r>
    </w:p>
    <w:p w14:paraId="65DFDA10" w14:textId="77777777" w:rsidR="00531887" w:rsidRPr="007F6EAE" w:rsidRDefault="00531887" w:rsidP="00531887">
      <w:pPr>
        <w:pStyle w:val="ListParagraph"/>
        <w:numPr>
          <w:ilvl w:val="0"/>
          <w:numId w:val="12"/>
        </w:numPr>
        <w:shd w:val="clear" w:color="auto" w:fill="FFFFFF"/>
        <w:spacing w:after="0"/>
        <w:rPr>
          <w:rFonts w:eastAsia="Times New Roman" w:cs="Times New Roman"/>
          <w:color w:val="4A4A4A"/>
          <w:lang w:eastAsia="en-GB"/>
        </w:rPr>
      </w:pPr>
      <w:r w:rsidRPr="007F6EAE">
        <w:rPr>
          <w:rFonts w:cs="Times New Roman"/>
          <w:lang w:val="fr-CH"/>
        </w:rPr>
        <w:t xml:space="preserve">Rossi S, Baili P, Capocaccia R, </w:t>
      </w:r>
      <w:r w:rsidRPr="007F6EAE">
        <w:rPr>
          <w:rFonts w:cs="Times New Roman"/>
          <w:i/>
          <w:iCs/>
          <w:lang w:val="fr-CH"/>
        </w:rPr>
        <w:t>et al.</w:t>
      </w:r>
      <w:r w:rsidRPr="007F6EAE">
        <w:rPr>
          <w:rFonts w:cs="Times New Roman"/>
          <w:lang w:val="fr-CH"/>
        </w:rPr>
        <w:t xml:space="preserve"> </w:t>
      </w:r>
      <w:r w:rsidRPr="007F6EAE">
        <w:rPr>
          <w:rFonts w:cs="Times New Roman"/>
        </w:rPr>
        <w:t xml:space="preserve">The EUROCARE-5 study on cancer survival in Europe 1999-2007: Database, quality checks and statistical analysis methods. </w:t>
      </w:r>
      <w:r w:rsidRPr="007F6EAE">
        <w:rPr>
          <w:rFonts w:cs="Times New Roman"/>
          <w:i/>
          <w:iCs/>
        </w:rPr>
        <w:t>Eur J Cancer Oxf Engl 1990</w:t>
      </w:r>
      <w:r w:rsidRPr="007F6EAE">
        <w:rPr>
          <w:rFonts w:cs="Times New Roman"/>
        </w:rPr>
        <w:t xml:space="preserve"> 2015; </w:t>
      </w:r>
      <w:r w:rsidRPr="007F6EAE">
        <w:rPr>
          <w:rFonts w:cs="Times New Roman"/>
          <w:bCs/>
        </w:rPr>
        <w:t>51</w:t>
      </w:r>
      <w:r w:rsidRPr="007F6EAE">
        <w:rPr>
          <w:rFonts w:cs="Times New Roman"/>
        </w:rPr>
        <w:t>: 2104–19.</w:t>
      </w:r>
    </w:p>
    <w:p w14:paraId="1814456C" w14:textId="77777777" w:rsidR="00531887" w:rsidRPr="007F6EAE" w:rsidRDefault="00531887" w:rsidP="00531887">
      <w:pPr>
        <w:pStyle w:val="ListParagraph"/>
        <w:numPr>
          <w:ilvl w:val="0"/>
          <w:numId w:val="12"/>
        </w:numPr>
        <w:shd w:val="clear" w:color="auto" w:fill="FFFFFF"/>
        <w:spacing w:after="0"/>
        <w:rPr>
          <w:rFonts w:eastAsia="Times New Roman" w:cs="Times New Roman"/>
          <w:color w:val="4A4A4A"/>
          <w:lang w:eastAsia="en-GB"/>
        </w:rPr>
      </w:pPr>
      <w:r w:rsidRPr="007F6EAE">
        <w:rPr>
          <w:rFonts w:cs="Times New Roman"/>
        </w:rPr>
        <w:t xml:space="preserve">Fullman N, Lozano R. Towards a meaningful measure of universal health coverage for the next billion. </w:t>
      </w:r>
      <w:r w:rsidRPr="007F6EAE">
        <w:rPr>
          <w:rFonts w:cs="Times New Roman"/>
          <w:i/>
          <w:iCs/>
        </w:rPr>
        <w:t>Lancet Glob Health</w:t>
      </w:r>
      <w:r w:rsidRPr="007F6EAE">
        <w:rPr>
          <w:rFonts w:cs="Times New Roman"/>
        </w:rPr>
        <w:t xml:space="preserve"> 2018; </w:t>
      </w:r>
      <w:r w:rsidRPr="007F6EAE">
        <w:rPr>
          <w:rFonts w:cs="Times New Roman"/>
          <w:bCs/>
        </w:rPr>
        <w:t>6</w:t>
      </w:r>
      <w:r w:rsidRPr="007F6EAE">
        <w:rPr>
          <w:rFonts w:cs="Times New Roman"/>
        </w:rPr>
        <w:t>: e122–3.</w:t>
      </w:r>
    </w:p>
    <w:p w14:paraId="4DD6FE59" w14:textId="27AFAD5C" w:rsidR="00531887" w:rsidRPr="007F6EAE" w:rsidRDefault="00531887" w:rsidP="00531887">
      <w:pPr>
        <w:pStyle w:val="ListParagraph"/>
        <w:numPr>
          <w:ilvl w:val="0"/>
          <w:numId w:val="12"/>
        </w:numPr>
        <w:shd w:val="clear" w:color="auto" w:fill="FFFFFF"/>
        <w:spacing w:after="0"/>
        <w:rPr>
          <w:rFonts w:eastAsia="Times New Roman" w:cs="Times New Roman"/>
          <w:color w:val="4A4A4A"/>
          <w:lang w:eastAsia="en-GB"/>
        </w:rPr>
      </w:pPr>
      <w:r w:rsidRPr="007F6EAE">
        <w:rPr>
          <w:rFonts w:cs="Times New Roman"/>
        </w:rPr>
        <w:t xml:space="preserve">WHO Expert Reference Group on the Draft GPW 13. WHO Expert Reference Group, 2018. </w:t>
      </w:r>
    </w:p>
    <w:p w14:paraId="10805E55" w14:textId="13427DF1" w:rsidR="00531887" w:rsidRPr="007F6EAE" w:rsidRDefault="00531887" w:rsidP="00531887">
      <w:pPr>
        <w:pStyle w:val="ListParagraph"/>
        <w:numPr>
          <w:ilvl w:val="0"/>
          <w:numId w:val="12"/>
        </w:numPr>
        <w:shd w:val="clear" w:color="auto" w:fill="FFFFFF"/>
        <w:spacing w:after="0"/>
        <w:rPr>
          <w:rFonts w:eastAsia="Times New Roman" w:cs="Times New Roman"/>
          <w:color w:val="4A4A4A"/>
          <w:lang w:eastAsia="en-GB"/>
        </w:rPr>
      </w:pPr>
      <w:r w:rsidRPr="007F6EAE">
        <w:rPr>
          <w:rFonts w:cs="Times New Roman"/>
        </w:rPr>
        <w:t xml:space="preserve">Ng M, Fullman N, Dieleman JL, Flaxman AD, Murray CJL, Lim SS. Effective Coverage: A Metric for Monitoring Universal Health Coverage. </w:t>
      </w:r>
      <w:r w:rsidRPr="007F6EAE">
        <w:rPr>
          <w:rFonts w:cs="Times New Roman"/>
          <w:i/>
          <w:iCs/>
        </w:rPr>
        <w:t>PLOS Med</w:t>
      </w:r>
      <w:r w:rsidRPr="007F6EAE">
        <w:rPr>
          <w:rFonts w:cs="Times New Roman"/>
        </w:rPr>
        <w:t xml:space="preserve"> 2014; </w:t>
      </w:r>
      <w:r w:rsidRPr="007F6EAE">
        <w:rPr>
          <w:rFonts w:cs="Times New Roman"/>
          <w:bCs/>
        </w:rPr>
        <w:t>11</w:t>
      </w:r>
      <w:r w:rsidRPr="007F6EAE">
        <w:rPr>
          <w:rFonts w:cs="Times New Roman"/>
        </w:rPr>
        <w:t xml:space="preserve">: e1001730. </w:t>
      </w:r>
    </w:p>
    <w:p w14:paraId="4DE2DCEE" w14:textId="409C7C14" w:rsidR="00531887" w:rsidRPr="007F6EAE" w:rsidRDefault="00531887" w:rsidP="00531887">
      <w:pPr>
        <w:pStyle w:val="ListParagraph"/>
        <w:numPr>
          <w:ilvl w:val="0"/>
          <w:numId w:val="12"/>
        </w:numPr>
        <w:shd w:val="clear" w:color="auto" w:fill="FFFFFF"/>
        <w:spacing w:after="0"/>
        <w:rPr>
          <w:rFonts w:eastAsia="Times New Roman" w:cs="Times New Roman"/>
          <w:color w:val="4A4A4A"/>
          <w:lang w:eastAsia="en-GB"/>
        </w:rPr>
      </w:pPr>
      <w:r w:rsidRPr="007F6EAE">
        <w:rPr>
          <w:rFonts w:cs="Times New Roman"/>
        </w:rPr>
        <w:t xml:space="preserve">Wagstaff A, Flores G, Hsu J, </w:t>
      </w:r>
      <w:r w:rsidRPr="007F6EAE">
        <w:rPr>
          <w:rFonts w:cs="Times New Roman"/>
          <w:i/>
          <w:iCs/>
        </w:rPr>
        <w:t>et al.</w:t>
      </w:r>
      <w:r w:rsidRPr="007F6EAE">
        <w:rPr>
          <w:rFonts w:cs="Times New Roman"/>
        </w:rPr>
        <w:t xml:space="preserve"> Progress on catastrophic health spending in 133 countries: a retrospective observational study. </w:t>
      </w:r>
      <w:r w:rsidRPr="007F6EAE">
        <w:rPr>
          <w:rFonts w:cs="Times New Roman"/>
          <w:i/>
          <w:iCs/>
        </w:rPr>
        <w:t>Lancet Glob Health</w:t>
      </w:r>
      <w:r w:rsidRPr="007F6EAE">
        <w:rPr>
          <w:rFonts w:cs="Times New Roman"/>
        </w:rPr>
        <w:t xml:space="preserve"> 2018; </w:t>
      </w:r>
      <w:r w:rsidRPr="007F6EAE">
        <w:rPr>
          <w:rFonts w:cs="Times New Roman"/>
          <w:bCs/>
        </w:rPr>
        <w:t>6</w:t>
      </w:r>
      <w:r w:rsidRPr="007F6EAE">
        <w:rPr>
          <w:rFonts w:cs="Times New Roman"/>
        </w:rPr>
        <w:t xml:space="preserve">: e169–79. </w:t>
      </w:r>
    </w:p>
    <w:p w14:paraId="44A67327" w14:textId="11CAFEF7" w:rsidR="00531887" w:rsidRPr="007F6EAE" w:rsidRDefault="00531887" w:rsidP="00531887">
      <w:pPr>
        <w:pStyle w:val="ListParagraph"/>
        <w:numPr>
          <w:ilvl w:val="0"/>
          <w:numId w:val="12"/>
        </w:numPr>
        <w:shd w:val="clear" w:color="auto" w:fill="FFFFFF"/>
        <w:spacing w:after="0"/>
        <w:rPr>
          <w:rFonts w:eastAsia="Times New Roman" w:cs="Times New Roman"/>
          <w:color w:val="4A4A4A"/>
          <w:lang w:eastAsia="en-GB"/>
        </w:rPr>
      </w:pPr>
      <w:r w:rsidRPr="007F6EAE">
        <w:rPr>
          <w:rFonts w:cs="Times New Roman"/>
          <w:lang w:val="fr-CH"/>
        </w:rPr>
        <w:t xml:space="preserve">Marten R, McIntyre D, Travassos C, </w:t>
      </w:r>
      <w:r w:rsidRPr="007F6EAE">
        <w:rPr>
          <w:rFonts w:cs="Times New Roman"/>
          <w:i/>
          <w:iCs/>
          <w:lang w:val="fr-CH"/>
        </w:rPr>
        <w:t>et al.</w:t>
      </w:r>
      <w:r w:rsidRPr="007F6EAE">
        <w:rPr>
          <w:rFonts w:cs="Times New Roman"/>
          <w:lang w:val="fr-CH"/>
        </w:rPr>
        <w:t xml:space="preserve"> </w:t>
      </w:r>
      <w:r w:rsidRPr="007F6EAE">
        <w:rPr>
          <w:rFonts w:cs="Times New Roman"/>
        </w:rPr>
        <w:t xml:space="preserve">An assessment of progress towards universal health coverage in Brazil, Russia, India, China, and South Africa (BRICS). </w:t>
      </w:r>
      <w:r w:rsidRPr="007F6EAE">
        <w:rPr>
          <w:rFonts w:cs="Times New Roman"/>
          <w:i/>
          <w:iCs/>
        </w:rPr>
        <w:t>The Lancet</w:t>
      </w:r>
      <w:r w:rsidRPr="007F6EAE">
        <w:rPr>
          <w:rFonts w:cs="Times New Roman"/>
        </w:rPr>
        <w:t xml:space="preserve"> 2014; </w:t>
      </w:r>
      <w:r w:rsidRPr="007F6EAE">
        <w:rPr>
          <w:rFonts w:cs="Times New Roman"/>
          <w:bCs/>
        </w:rPr>
        <w:t>384</w:t>
      </w:r>
      <w:r w:rsidRPr="007F6EAE">
        <w:rPr>
          <w:rFonts w:cs="Times New Roman"/>
        </w:rPr>
        <w:t>: 2164–71.</w:t>
      </w:r>
    </w:p>
    <w:p w14:paraId="03D9D2D0" w14:textId="77777777" w:rsidR="00741FC1" w:rsidRPr="007F6EAE" w:rsidRDefault="00531887" w:rsidP="00741FC1">
      <w:pPr>
        <w:pStyle w:val="ListParagraph"/>
        <w:numPr>
          <w:ilvl w:val="0"/>
          <w:numId w:val="12"/>
        </w:numPr>
        <w:shd w:val="clear" w:color="auto" w:fill="FFFFFF"/>
        <w:spacing w:after="0"/>
        <w:rPr>
          <w:rFonts w:eastAsia="Times New Roman" w:cs="Times New Roman"/>
          <w:color w:val="4A4A4A"/>
          <w:lang w:eastAsia="en-GB"/>
        </w:rPr>
      </w:pPr>
      <w:r w:rsidRPr="007F6EAE">
        <w:rPr>
          <w:rFonts w:cs="Times New Roman"/>
        </w:rPr>
        <w:t>Global surveillance of trends in cancer survival 2000–14 (CONCORD-3): analysis of individual records for 37 513 025 patients diagnosed with one of 18 cancers from 322 population-based registries in 71 countries - The Lancet. https://www.thelancet.com/journals/lancet/article/PIIS0140-6736(17)33326-3/fulltext (accessed Sept 19, 2018).</w:t>
      </w:r>
    </w:p>
    <w:p w14:paraId="0C6B196A" w14:textId="77777777" w:rsidR="009B5732" w:rsidRPr="007F6EAE" w:rsidRDefault="00CB1B95" w:rsidP="009B5732">
      <w:pPr>
        <w:pStyle w:val="ListParagraph"/>
        <w:numPr>
          <w:ilvl w:val="0"/>
          <w:numId w:val="12"/>
        </w:numPr>
        <w:shd w:val="clear" w:color="auto" w:fill="FFFFFF"/>
        <w:spacing w:after="0"/>
        <w:rPr>
          <w:rFonts w:eastAsia="Times New Roman" w:cs="Times New Roman"/>
          <w:color w:val="4A4A4A"/>
          <w:lang w:eastAsia="en-GB"/>
        </w:rPr>
      </w:pPr>
      <w:r w:rsidRPr="007F6EAE">
        <w:rPr>
          <w:rFonts w:eastAsia="Times New Roman" w:cs="Times New Roman"/>
          <w:bCs/>
          <w:lang w:eastAsia="en-GB"/>
        </w:rPr>
        <w:t>For historical development of met</w:t>
      </w:r>
      <w:r w:rsidR="00741FC1" w:rsidRPr="007F6EAE">
        <w:rPr>
          <w:rFonts w:eastAsia="Times New Roman" w:cs="Times New Roman"/>
          <w:bCs/>
          <w:lang w:eastAsia="en-GB"/>
        </w:rPr>
        <w:t xml:space="preserve">hods: </w:t>
      </w:r>
      <w:hyperlink r:id="rId22" w:history="1">
        <w:r w:rsidRPr="007F6EAE">
          <w:rPr>
            <w:rStyle w:val="Hyperlink"/>
            <w:rFonts w:eastAsia="Times New Roman" w:cs="Times New Roman"/>
            <w:bCs/>
            <w:lang w:eastAsia="en-GB"/>
          </w:rPr>
          <w:t>http://www.who.int/healthinfo/universal_health_coverage/UHC_WHS2016_TechnicalNote_May2016.pdf?ua=1</w:t>
        </w:r>
      </w:hyperlink>
      <w:r w:rsidRPr="007F6EAE">
        <w:rPr>
          <w:rFonts w:eastAsia="Times New Roman" w:cs="Times New Roman"/>
          <w:bCs/>
          <w:color w:val="4A4A4A"/>
          <w:lang w:eastAsia="en-GB"/>
        </w:rPr>
        <w:t xml:space="preserve"> </w:t>
      </w:r>
    </w:p>
    <w:p w14:paraId="09E9562A" w14:textId="40E8B563" w:rsidR="00CB1B95" w:rsidRPr="007F6EAE" w:rsidRDefault="009B5732" w:rsidP="009B5732">
      <w:pPr>
        <w:shd w:val="clear" w:color="auto" w:fill="FFFFFF"/>
        <w:spacing w:after="0"/>
        <w:ind w:left="360"/>
        <w:rPr>
          <w:rFonts w:eastAsia="Times New Roman" w:cs="Times New Roman"/>
          <w:color w:val="4A4A4A"/>
          <w:lang w:eastAsia="en-GB"/>
        </w:rPr>
      </w:pPr>
      <w:r w:rsidRPr="007F6EAE">
        <w:rPr>
          <w:rFonts w:eastAsia="Times New Roman" w:cs="Times New Roman"/>
          <w:color w:val="4A4A4A"/>
          <w:lang w:eastAsia="en-GB"/>
        </w:rPr>
        <w:t xml:space="preserve"> </w:t>
      </w:r>
    </w:p>
    <w:p w14:paraId="3A8374A0" w14:textId="601DF9E9" w:rsidR="002A2174" w:rsidRPr="007F6EAE" w:rsidRDefault="002A2174" w:rsidP="009B5732">
      <w:pPr>
        <w:shd w:val="clear" w:color="auto" w:fill="FFFFFF"/>
        <w:spacing w:after="0"/>
        <w:ind w:left="360"/>
        <w:rPr>
          <w:rFonts w:eastAsia="Times New Roman" w:cs="Times New Roman"/>
          <w:color w:val="4A4A4A"/>
          <w:lang w:eastAsia="en-GB"/>
        </w:rPr>
      </w:pPr>
    </w:p>
    <w:p w14:paraId="79094D09" w14:textId="74DD59F6" w:rsidR="002A2174" w:rsidRPr="007F6EAE" w:rsidRDefault="002A2174" w:rsidP="009B5732">
      <w:pPr>
        <w:shd w:val="clear" w:color="auto" w:fill="FFFFFF"/>
        <w:spacing w:after="0"/>
        <w:ind w:left="360"/>
        <w:rPr>
          <w:rFonts w:eastAsia="Times New Roman" w:cs="Times New Roman"/>
          <w:color w:val="4A4A4A"/>
          <w:lang w:eastAsia="en-GB"/>
        </w:rPr>
      </w:pPr>
    </w:p>
    <w:p w14:paraId="6AD130C5" w14:textId="7648DFE3" w:rsidR="002A2174" w:rsidRPr="007F6EAE" w:rsidRDefault="002A2174" w:rsidP="009B5732">
      <w:pPr>
        <w:shd w:val="clear" w:color="auto" w:fill="FFFFFF"/>
        <w:spacing w:after="0"/>
        <w:ind w:left="360"/>
        <w:rPr>
          <w:rFonts w:eastAsia="Times New Roman" w:cs="Times New Roman"/>
          <w:color w:val="4A4A4A"/>
          <w:lang w:eastAsia="en-GB"/>
        </w:rPr>
      </w:pPr>
    </w:p>
    <w:p w14:paraId="64C1FE13" w14:textId="013D0D6D" w:rsidR="002A2174" w:rsidRPr="007F6EAE" w:rsidRDefault="002A2174" w:rsidP="009B5732">
      <w:pPr>
        <w:shd w:val="clear" w:color="auto" w:fill="FFFFFF"/>
        <w:spacing w:after="0"/>
        <w:ind w:left="360"/>
        <w:rPr>
          <w:rFonts w:eastAsia="Times New Roman" w:cs="Times New Roman"/>
          <w:color w:val="4A4A4A"/>
          <w:lang w:eastAsia="en-GB"/>
        </w:rPr>
      </w:pPr>
    </w:p>
    <w:p w14:paraId="1E38BF01" w14:textId="020449E2" w:rsidR="002A2174" w:rsidRPr="007F6EAE" w:rsidRDefault="002A2174" w:rsidP="009B5732">
      <w:pPr>
        <w:shd w:val="clear" w:color="auto" w:fill="FFFFFF"/>
        <w:spacing w:after="0"/>
        <w:ind w:left="360"/>
        <w:rPr>
          <w:rFonts w:eastAsia="Times New Roman" w:cs="Times New Roman"/>
          <w:color w:val="4A4A4A"/>
          <w:lang w:eastAsia="en-GB"/>
        </w:rPr>
      </w:pPr>
    </w:p>
    <w:p w14:paraId="79930AC6" w14:textId="191141D0" w:rsidR="002A2174" w:rsidRPr="007F6EAE" w:rsidRDefault="002A2174" w:rsidP="009B5732">
      <w:pPr>
        <w:shd w:val="clear" w:color="auto" w:fill="FFFFFF"/>
        <w:spacing w:after="0"/>
        <w:ind w:left="360"/>
        <w:rPr>
          <w:rFonts w:eastAsia="Times New Roman" w:cs="Times New Roman"/>
          <w:color w:val="4A4A4A"/>
          <w:lang w:eastAsia="en-GB"/>
        </w:rPr>
      </w:pPr>
    </w:p>
    <w:p w14:paraId="46167C57" w14:textId="67ACDCC9" w:rsidR="002A2174" w:rsidRPr="007F6EAE" w:rsidRDefault="002A2174" w:rsidP="009B5732">
      <w:pPr>
        <w:shd w:val="clear" w:color="auto" w:fill="FFFFFF"/>
        <w:spacing w:after="0"/>
        <w:ind w:left="360"/>
        <w:rPr>
          <w:rFonts w:eastAsia="Times New Roman" w:cs="Times New Roman"/>
          <w:color w:val="4A4A4A"/>
          <w:lang w:eastAsia="en-GB"/>
        </w:rPr>
      </w:pPr>
    </w:p>
    <w:p w14:paraId="6D9EFA49" w14:textId="06F4B89C" w:rsidR="002A2174" w:rsidRPr="007F6EAE" w:rsidRDefault="002A2174" w:rsidP="009B5732">
      <w:pPr>
        <w:shd w:val="clear" w:color="auto" w:fill="FFFFFF"/>
        <w:spacing w:after="0"/>
        <w:ind w:left="360"/>
        <w:rPr>
          <w:rFonts w:eastAsia="Times New Roman" w:cs="Times New Roman"/>
          <w:color w:val="4A4A4A"/>
          <w:lang w:eastAsia="en-GB"/>
        </w:rPr>
      </w:pPr>
    </w:p>
    <w:p w14:paraId="755AF656" w14:textId="3DA92DE4" w:rsidR="002A2174" w:rsidRPr="007F6EAE" w:rsidRDefault="002A2174" w:rsidP="009B5732">
      <w:pPr>
        <w:shd w:val="clear" w:color="auto" w:fill="FFFFFF"/>
        <w:spacing w:after="0"/>
        <w:ind w:left="360"/>
        <w:rPr>
          <w:rFonts w:eastAsia="Times New Roman" w:cs="Times New Roman"/>
          <w:color w:val="4A4A4A"/>
          <w:lang w:eastAsia="en-GB"/>
        </w:rPr>
      </w:pPr>
    </w:p>
    <w:p w14:paraId="1E5245FE" w14:textId="5553E3A9" w:rsidR="002A2174" w:rsidRPr="007F6EAE" w:rsidRDefault="002A2174" w:rsidP="009B5732">
      <w:pPr>
        <w:shd w:val="clear" w:color="auto" w:fill="FFFFFF"/>
        <w:spacing w:after="0"/>
        <w:ind w:left="360"/>
        <w:rPr>
          <w:rFonts w:eastAsia="Times New Roman" w:cs="Times New Roman"/>
          <w:color w:val="4A4A4A"/>
          <w:lang w:eastAsia="en-GB"/>
        </w:rPr>
      </w:pPr>
    </w:p>
    <w:p w14:paraId="0E51A1B0" w14:textId="6CB4A7DD" w:rsidR="002A2174" w:rsidRPr="007F6EAE" w:rsidRDefault="002A2174" w:rsidP="009B5732">
      <w:pPr>
        <w:shd w:val="clear" w:color="auto" w:fill="FFFFFF"/>
        <w:spacing w:after="0"/>
        <w:ind w:left="360"/>
        <w:rPr>
          <w:rFonts w:eastAsia="Times New Roman" w:cs="Times New Roman"/>
          <w:color w:val="4A4A4A"/>
          <w:lang w:eastAsia="en-GB"/>
        </w:rPr>
      </w:pPr>
    </w:p>
    <w:p w14:paraId="6998BBB3" w14:textId="2365A9F4" w:rsidR="002A2174" w:rsidRPr="007F6EAE" w:rsidRDefault="002A2174" w:rsidP="009B5732">
      <w:pPr>
        <w:shd w:val="clear" w:color="auto" w:fill="FFFFFF"/>
        <w:spacing w:after="0"/>
        <w:ind w:left="360"/>
        <w:rPr>
          <w:rFonts w:eastAsia="Times New Roman" w:cs="Times New Roman"/>
          <w:color w:val="4A4A4A"/>
          <w:lang w:eastAsia="en-GB"/>
        </w:rPr>
      </w:pPr>
    </w:p>
    <w:p w14:paraId="0E35CD03" w14:textId="410697A0" w:rsidR="002A2174" w:rsidRPr="007F6EAE" w:rsidRDefault="002A2174" w:rsidP="009B5732">
      <w:pPr>
        <w:shd w:val="clear" w:color="auto" w:fill="FFFFFF"/>
        <w:spacing w:after="0"/>
        <w:ind w:left="360"/>
        <w:rPr>
          <w:rFonts w:eastAsia="Times New Roman" w:cs="Times New Roman"/>
          <w:color w:val="4A4A4A"/>
          <w:lang w:eastAsia="en-GB"/>
        </w:rPr>
      </w:pPr>
    </w:p>
    <w:p w14:paraId="34F39D0F" w14:textId="00DD0A51" w:rsidR="002A2174" w:rsidRPr="007F6EAE" w:rsidRDefault="002A2174" w:rsidP="009B5732">
      <w:pPr>
        <w:shd w:val="clear" w:color="auto" w:fill="FFFFFF"/>
        <w:spacing w:after="0"/>
        <w:ind w:left="360"/>
        <w:rPr>
          <w:rFonts w:eastAsia="Times New Roman" w:cs="Times New Roman"/>
          <w:color w:val="4A4A4A"/>
          <w:lang w:eastAsia="en-GB"/>
        </w:rPr>
      </w:pPr>
    </w:p>
    <w:p w14:paraId="3AE16BF1" w14:textId="74F6BDF6" w:rsidR="002A2174" w:rsidRPr="007F6EAE" w:rsidRDefault="002A2174" w:rsidP="009B5732">
      <w:pPr>
        <w:shd w:val="clear" w:color="auto" w:fill="FFFFFF"/>
        <w:spacing w:after="0"/>
        <w:ind w:left="360"/>
        <w:rPr>
          <w:rFonts w:eastAsia="Times New Roman" w:cs="Times New Roman"/>
          <w:color w:val="4A4A4A"/>
          <w:lang w:eastAsia="en-GB"/>
        </w:rPr>
      </w:pPr>
    </w:p>
    <w:p w14:paraId="38E281A0" w14:textId="6493A952" w:rsidR="002A2174" w:rsidRPr="007F6EAE" w:rsidRDefault="002A2174" w:rsidP="009B5732">
      <w:pPr>
        <w:shd w:val="clear" w:color="auto" w:fill="FFFFFF"/>
        <w:spacing w:after="0"/>
        <w:ind w:left="360"/>
        <w:rPr>
          <w:rFonts w:eastAsia="Times New Roman" w:cs="Times New Roman"/>
          <w:color w:val="4A4A4A"/>
          <w:lang w:eastAsia="en-GB"/>
        </w:rPr>
      </w:pPr>
    </w:p>
    <w:p w14:paraId="0FD39299" w14:textId="42ABA8F6" w:rsidR="002A2174" w:rsidRDefault="002A2174" w:rsidP="009B5732">
      <w:pPr>
        <w:shd w:val="clear" w:color="auto" w:fill="FFFFFF"/>
        <w:spacing w:after="0"/>
        <w:ind w:left="360"/>
        <w:rPr>
          <w:rFonts w:eastAsia="Times New Roman" w:cs="Times New Roman"/>
          <w:color w:val="4A4A4A"/>
          <w:lang w:eastAsia="en-GB"/>
        </w:rPr>
      </w:pPr>
    </w:p>
    <w:p w14:paraId="162F8538" w14:textId="77777777" w:rsidR="002A2174" w:rsidRDefault="002A2174" w:rsidP="009B5732">
      <w:pPr>
        <w:shd w:val="clear" w:color="auto" w:fill="FFFFFF"/>
        <w:spacing w:after="0"/>
        <w:ind w:left="360"/>
        <w:rPr>
          <w:rFonts w:eastAsia="Times New Roman" w:cs="Times New Roman"/>
          <w:color w:val="4A4A4A"/>
          <w:lang w:eastAsia="en-GB"/>
        </w:rPr>
        <w:sectPr w:rsidR="002A2174" w:rsidSect="007A334F">
          <w:pgSz w:w="11906" w:h="16838"/>
          <w:pgMar w:top="1440" w:right="1440" w:bottom="1440" w:left="1440" w:header="720" w:footer="720" w:gutter="0"/>
          <w:cols w:space="720"/>
          <w:docGrid w:linePitch="360"/>
        </w:sectPr>
      </w:pPr>
    </w:p>
    <w:p w14:paraId="5EAE0715" w14:textId="1279C9F0" w:rsidR="001D0CF1" w:rsidRDefault="007F6EAE" w:rsidP="001D0CF1">
      <w:pPr>
        <w:shd w:val="clear" w:color="auto" w:fill="FFFFFF"/>
        <w:spacing w:after="0"/>
        <w:ind w:left="360"/>
        <w:rPr>
          <w:rFonts w:eastAsia="Times New Roman" w:cs="Times New Roman"/>
          <w:b/>
          <w:color w:val="4A4A4A"/>
          <w:lang w:eastAsia="en-GB"/>
        </w:rPr>
      </w:pPr>
      <w:r>
        <w:rPr>
          <w:rFonts w:eastAsia="Times New Roman" w:cs="Times New Roman"/>
          <w:b/>
          <w:color w:val="4A4A4A"/>
          <w:sz w:val="24"/>
          <w:szCs w:val="24"/>
          <w:lang w:eastAsia="en-GB"/>
        </w:rPr>
        <w:t>Annex 1</w:t>
      </w:r>
      <w:r w:rsidR="00994FE1">
        <w:rPr>
          <w:rFonts w:eastAsia="Times New Roman" w:cs="Times New Roman"/>
          <w:color w:val="4A4A4A"/>
          <w:lang w:eastAsia="en-GB"/>
        </w:rPr>
        <w:t xml:space="preserve">: </w:t>
      </w:r>
      <w:r w:rsidR="00994FE1" w:rsidRPr="00994FE1">
        <w:rPr>
          <w:rFonts w:eastAsia="Times New Roman" w:cs="Times New Roman"/>
          <w:b/>
          <w:color w:val="4A4A4A"/>
          <w:lang w:eastAsia="en-GB"/>
        </w:rPr>
        <w:t>UHC Index</w:t>
      </w:r>
    </w:p>
    <w:p w14:paraId="5A1B54D3" w14:textId="7E605885" w:rsidR="001D0CF1" w:rsidRDefault="001D0CF1" w:rsidP="00994FE1">
      <w:pPr>
        <w:shd w:val="clear" w:color="auto" w:fill="FFFFFF"/>
        <w:spacing w:after="0"/>
        <w:ind w:left="360"/>
        <w:rPr>
          <w:rFonts w:eastAsia="Times New Roman" w:cs="Times New Roman"/>
          <w:color w:val="4A4A4A"/>
          <w:lang w:eastAsia="en-GB"/>
        </w:rPr>
        <w:sectPr w:rsidR="001D0CF1" w:rsidSect="002A2174">
          <w:pgSz w:w="16838" w:h="11906" w:orient="landscape"/>
          <w:pgMar w:top="1440" w:right="1440" w:bottom="1440" w:left="1440" w:header="720" w:footer="720" w:gutter="0"/>
          <w:cols w:space="720"/>
          <w:docGrid w:linePitch="360"/>
        </w:sectPr>
      </w:pPr>
      <w:r w:rsidRPr="001D0CF1">
        <w:rPr>
          <w:noProof/>
        </w:rPr>
        <w:drawing>
          <wp:anchor distT="0" distB="0" distL="114300" distR="114300" simplePos="0" relativeHeight="251658240" behindDoc="1" locked="0" layoutInCell="1" allowOverlap="1" wp14:anchorId="00892B85" wp14:editId="1BA6787B">
            <wp:simplePos x="0" y="0"/>
            <wp:positionH relativeFrom="column">
              <wp:posOffset>228600</wp:posOffset>
            </wp:positionH>
            <wp:positionV relativeFrom="paragraph">
              <wp:posOffset>-4445</wp:posOffset>
            </wp:positionV>
            <wp:extent cx="8858250" cy="5396230"/>
            <wp:effectExtent l="0" t="0" r="0" b="0"/>
            <wp:wrapTight wrapText="bothSides">
              <wp:wrapPolygon edited="0">
                <wp:start x="0" y="0"/>
                <wp:lineTo x="0" y="21503"/>
                <wp:lineTo x="21554" y="21503"/>
                <wp:lineTo x="21554"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8858250" cy="539623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794E161" w14:textId="220A4F84" w:rsidR="007902A5" w:rsidRPr="007902A5" w:rsidRDefault="007902A5" w:rsidP="007902A5">
      <w:pPr>
        <w:pStyle w:val="Heading1"/>
        <w:rPr>
          <w:rFonts w:asciiTheme="minorHAnsi" w:eastAsia="Times New Roman" w:hAnsiTheme="minorHAnsi" w:cs="Times New Roman"/>
          <w:bCs w:val="0"/>
          <w:color w:val="4A4A4A"/>
          <w:sz w:val="24"/>
          <w:szCs w:val="24"/>
          <w:lang w:eastAsia="en-GB"/>
        </w:rPr>
      </w:pPr>
      <w:r w:rsidRPr="007902A5">
        <w:rPr>
          <w:rFonts w:asciiTheme="minorHAnsi" w:eastAsia="Times New Roman" w:hAnsiTheme="minorHAnsi" w:cs="Times New Roman"/>
          <w:bCs w:val="0"/>
          <w:color w:val="4A4A4A"/>
          <w:sz w:val="24"/>
          <w:szCs w:val="24"/>
          <w:lang w:eastAsia="en-GB"/>
        </w:rPr>
        <w:t>Annex B: SDG 3.8.1: Metadata Compendium of Effective Coverage (EC) tracer indicators for Universal Health Coverage (UHC life course framework)</w:t>
      </w:r>
    </w:p>
    <w:p w14:paraId="77F7328F" w14:textId="77777777" w:rsidR="00994FE1" w:rsidRDefault="00994FE1" w:rsidP="007902A5">
      <w:pPr>
        <w:rPr>
          <w:b/>
          <w:i/>
          <w:iCs/>
          <w:color w:val="C00000"/>
          <w:sz w:val="24"/>
          <w:u w:val="single"/>
        </w:rPr>
      </w:pPr>
    </w:p>
    <w:p w14:paraId="22F2A2B7" w14:textId="580FFA03" w:rsidR="007902A5" w:rsidRPr="002B42D9" w:rsidRDefault="007902A5" w:rsidP="007902A5">
      <w:pPr>
        <w:rPr>
          <w:b/>
          <w:i/>
          <w:iCs/>
          <w:color w:val="C00000"/>
          <w:sz w:val="24"/>
          <w:u w:val="single"/>
        </w:rPr>
      </w:pPr>
      <w:r w:rsidRPr="002B42D9">
        <w:rPr>
          <w:b/>
          <w:i/>
          <w:iCs/>
          <w:color w:val="C00000"/>
          <w:sz w:val="24"/>
          <w:u w:val="single"/>
        </w:rPr>
        <w:t>Promotion</w:t>
      </w:r>
    </w:p>
    <w:p w14:paraId="5159008D" w14:textId="77777777" w:rsidR="007902A5" w:rsidRDefault="007902A5" w:rsidP="007902A5">
      <w:pPr>
        <w:rPr>
          <w:u w:val="single"/>
        </w:rPr>
      </w:pPr>
      <w:r>
        <w:rPr>
          <w:b/>
          <w:u w:val="single"/>
        </w:rPr>
        <w:t xml:space="preserve">1. </w:t>
      </w:r>
      <w:r w:rsidRPr="003B6F6E">
        <w:rPr>
          <w:u w:val="single"/>
        </w:rPr>
        <w:t>EC modern contraception</w:t>
      </w:r>
      <w:r>
        <w:rPr>
          <w:u w:val="single"/>
        </w:rPr>
        <w:t>.</w:t>
      </w:r>
    </w:p>
    <w:p w14:paraId="5E76F24B" w14:textId="77777777" w:rsidR="007902A5" w:rsidRDefault="007902A5" w:rsidP="007902A5">
      <w:pPr>
        <w:rPr>
          <w:rFonts w:ascii="MyriadPro-Cond" w:eastAsia="MyriadPro-Cond" w:cs="MyriadPro-Cond"/>
        </w:rPr>
      </w:pPr>
      <w:r>
        <w:rPr>
          <w:b/>
        </w:rPr>
        <w:t>Domain of global reference list:</w:t>
      </w:r>
      <w:r>
        <w:t xml:space="preserve"> Service Coverage. </w:t>
      </w:r>
    </w:p>
    <w:p w14:paraId="143A159E" w14:textId="77777777" w:rsidR="007902A5" w:rsidRDefault="007902A5" w:rsidP="007902A5">
      <w:pPr>
        <w:rPr>
          <w:b/>
        </w:rPr>
      </w:pPr>
      <w:r>
        <w:rPr>
          <w:b/>
        </w:rPr>
        <w:t>Rationale:</w:t>
      </w:r>
      <w:r>
        <w:t xml:space="preserve"> It is a tracer indicator. The use of modern contraception is vital to family planning. The proportion of women aged 15 to 49 years with their family planning needs met with modern contraception methods is an important marker of the availability of healthcare services for women aged 15-49. </w:t>
      </w:r>
    </w:p>
    <w:p w14:paraId="135C173B" w14:textId="77777777" w:rsidR="007902A5" w:rsidRPr="00A6703E" w:rsidRDefault="007902A5" w:rsidP="007902A5">
      <w:r>
        <w:rPr>
          <w:b/>
        </w:rPr>
        <w:t>Numerator:</w:t>
      </w:r>
      <w:r>
        <w:t xml:space="preserve"> </w:t>
      </w:r>
      <w:r w:rsidRPr="003B6F6E">
        <w:t>number of women who are using modern methods of contraception</w:t>
      </w:r>
    </w:p>
    <w:p w14:paraId="4EF3FB30" w14:textId="77777777" w:rsidR="007902A5" w:rsidRDefault="007902A5" w:rsidP="007902A5">
      <w:r>
        <w:rPr>
          <w:b/>
        </w:rPr>
        <w:t xml:space="preserve">Denominator: </w:t>
      </w:r>
      <w:r w:rsidRPr="003B6F6E">
        <w:t>number of women who want to use modern methods of contraception but are not + number of women who are on modern method of contraception</w:t>
      </w:r>
      <w:r>
        <w:t>.</w:t>
      </w:r>
    </w:p>
    <w:p w14:paraId="00F84898" w14:textId="77777777" w:rsidR="007902A5" w:rsidRDefault="007902A5" w:rsidP="007902A5">
      <w:pPr>
        <w:rPr>
          <w:b/>
        </w:rPr>
      </w:pPr>
      <w:r>
        <w:rPr>
          <w:b/>
        </w:rPr>
        <w:t xml:space="preserve">Case definition: </w:t>
      </w:r>
      <w:r w:rsidRPr="00ED1391">
        <w:t>We defined modern contraceptive methods as the current use of male or female sterilization, male or female condoms, diaphragms, spermicide foam/jelly, oral hormonal pills, implants, injections, intra-uterine devices (IUDs), or emergency contraceptives.</w:t>
      </w:r>
    </w:p>
    <w:p w14:paraId="50058EC3" w14:textId="77777777" w:rsidR="007902A5" w:rsidRPr="00ED1391" w:rsidRDefault="007902A5" w:rsidP="007902A5">
      <w:r>
        <w:rPr>
          <w:b/>
        </w:rPr>
        <w:t xml:space="preserve">Method of measurement: </w:t>
      </w:r>
      <w:r w:rsidRPr="00ED1391">
        <w:t>The present study used two primary types of input data in order to ultimately generate a time series of met need for family</w:t>
      </w:r>
      <w:r>
        <w:t xml:space="preserve"> planning with modern methods: </w:t>
      </w:r>
      <w:r w:rsidRPr="00ED1391">
        <w:t xml:space="preserve">(1) individual-level microdata from which met need for family planning with modern methods could be directly estimated </w:t>
      </w:r>
      <w:r>
        <w:t xml:space="preserve">and </w:t>
      </w:r>
      <w:r w:rsidRPr="00ED1391">
        <w:t>(2) tabulated data from survey reports for which met need with modern methods could be directly extracted (as demand satisfied with modern methods) or indirectly calculated based on reported estimates of modern contraception coverage, any contraception coverage, and unmet need for family planning.</w:t>
      </w:r>
    </w:p>
    <w:p w14:paraId="0042BABE" w14:textId="77777777" w:rsidR="007902A5" w:rsidRDefault="007902A5" w:rsidP="007902A5">
      <w:pPr>
        <w:rPr>
          <w:rFonts w:ascii="MyriadPro-Cond" w:eastAsia="MyriadPro-Cond" w:cs="MyriadPro-Cond"/>
        </w:rPr>
      </w:pPr>
      <w:r>
        <w:rPr>
          <w:b/>
        </w:rPr>
        <w:t>Measurement frequency:</w:t>
      </w:r>
      <w:r>
        <w:t xml:space="preserve"> Annual.</w:t>
      </w:r>
    </w:p>
    <w:p w14:paraId="1B02B92F" w14:textId="77777777" w:rsidR="007902A5" w:rsidRDefault="007902A5" w:rsidP="007902A5">
      <w:r>
        <w:rPr>
          <w:b/>
        </w:rPr>
        <w:t>Monitoring and evaluation framework:</w:t>
      </w:r>
      <w:r>
        <w:t xml:space="preserve"> Outcome.</w:t>
      </w:r>
    </w:p>
    <w:p w14:paraId="1D8C9CE0" w14:textId="48EED096" w:rsidR="005C4B68" w:rsidRDefault="007902A5" w:rsidP="009D13BC">
      <w:pPr>
        <w:rPr>
          <w:b/>
          <w:sz w:val="24"/>
          <w:szCs w:val="24"/>
        </w:rPr>
      </w:pPr>
      <w:r>
        <w:rPr>
          <w:b/>
        </w:rPr>
        <w:t>Preferred data sources:</w:t>
      </w:r>
      <w:r>
        <w:t xml:space="preserve"> Individual-level, nationally-representative survey data (e.g. data from Demographic and Health Surveys) and administrative records from ministries of health with complete information.</w:t>
      </w:r>
      <w:r w:rsidR="009D13BC">
        <w:t xml:space="preserve"> </w:t>
      </w:r>
      <w:r w:rsidR="009D13BC" w:rsidRPr="009D13BC">
        <w:t>censuses from countries with recent censuses; CRVS for countries with functioning systems; demographic estimates from countries with poor data</w:t>
      </w:r>
      <w:r w:rsidR="009D13BC">
        <w:t>.</w:t>
      </w:r>
      <w:r w:rsidR="005C4B68">
        <w:rPr>
          <w:b/>
          <w:sz w:val="24"/>
          <w:szCs w:val="24"/>
        </w:rPr>
        <w:br w:type="page"/>
      </w:r>
    </w:p>
    <w:p w14:paraId="254C8667" w14:textId="77777777" w:rsidR="007902A5" w:rsidRPr="002B42D9" w:rsidRDefault="007902A5" w:rsidP="007902A5">
      <w:pPr>
        <w:rPr>
          <w:u w:val="single"/>
        </w:rPr>
      </w:pPr>
      <w:r>
        <w:rPr>
          <w:b/>
          <w:u w:val="single"/>
        </w:rPr>
        <w:t xml:space="preserve">2. </w:t>
      </w:r>
      <w:r w:rsidRPr="003B6F6E">
        <w:rPr>
          <w:u w:val="single"/>
        </w:rPr>
        <w:t>EC breastfeeding promotion</w:t>
      </w:r>
      <w:r w:rsidRPr="002B42D9">
        <w:rPr>
          <w:u w:val="single"/>
        </w:rPr>
        <w:t>.</w:t>
      </w:r>
    </w:p>
    <w:p w14:paraId="03CCF4F0" w14:textId="77777777" w:rsidR="007902A5" w:rsidRPr="00D462C4" w:rsidRDefault="007902A5" w:rsidP="007902A5">
      <w:pPr>
        <w:rPr>
          <w:rFonts w:ascii="MyriadPro-Cond" w:eastAsia="MyriadPro-Cond" w:cs="MyriadPro-Cond"/>
        </w:rPr>
      </w:pPr>
      <w:r>
        <w:rPr>
          <w:b/>
        </w:rPr>
        <w:t>Domain of Global Reference List:</w:t>
      </w:r>
      <w:r>
        <w:t xml:space="preserve"> Service coverage.</w:t>
      </w:r>
    </w:p>
    <w:p w14:paraId="68DD54A8" w14:textId="77777777" w:rsidR="007902A5" w:rsidRDefault="007902A5" w:rsidP="007902A5">
      <w:r>
        <w:rPr>
          <w:b/>
        </w:rPr>
        <w:t>Rationale:</w:t>
      </w:r>
      <w:r>
        <w:t xml:space="preserve"> It is a tracer indicator. Breastfeeding within the first hour of birth provides health benefits to newborns. The percentage of mothers who initiate breastfeeding within one hour of birth is an important marker of the promotion of child health services.</w:t>
      </w:r>
    </w:p>
    <w:p w14:paraId="0E059716" w14:textId="77777777" w:rsidR="007902A5" w:rsidRDefault="007902A5" w:rsidP="007902A5">
      <w:r>
        <w:rPr>
          <w:b/>
        </w:rPr>
        <w:t>Numerator:</w:t>
      </w:r>
      <w:r>
        <w:t xml:space="preserve"> </w:t>
      </w:r>
      <w:r w:rsidRPr="003B6F6E">
        <w:t>number of newborns initiating breastfeeding within one hour of birth</w:t>
      </w:r>
      <w:r>
        <w:t>.</w:t>
      </w:r>
    </w:p>
    <w:p w14:paraId="0781E99B" w14:textId="77777777" w:rsidR="007902A5" w:rsidRPr="00AD1E5D" w:rsidRDefault="007902A5" w:rsidP="007902A5">
      <w:r>
        <w:rPr>
          <w:b/>
        </w:rPr>
        <w:t xml:space="preserve">Denominator: </w:t>
      </w:r>
      <w:r w:rsidRPr="003B6F6E">
        <w:t>number of live births</w:t>
      </w:r>
      <w:r>
        <w:t>.</w:t>
      </w:r>
    </w:p>
    <w:p w14:paraId="1DEBA525" w14:textId="77777777" w:rsidR="007902A5" w:rsidRDefault="007902A5" w:rsidP="007902A5">
      <w:r>
        <w:rPr>
          <w:b/>
        </w:rPr>
        <w:t xml:space="preserve">Case definition: </w:t>
      </w:r>
      <w:r>
        <w:t>Newborns who are breastfed within one hour of birth are considered to be a case.</w:t>
      </w:r>
    </w:p>
    <w:p w14:paraId="742B3B01" w14:textId="77777777" w:rsidR="007902A5" w:rsidRDefault="007902A5" w:rsidP="007902A5">
      <w:r>
        <w:rPr>
          <w:b/>
        </w:rPr>
        <w:t xml:space="preserve">Method of measurement: </w:t>
      </w:r>
      <w:r>
        <w:t>The data used to estimate the number of newborns initiating breastfeeding within one hour of birth includes individual-level survey data and WHO reported data on early initiation of breastfeeding.</w:t>
      </w:r>
    </w:p>
    <w:p w14:paraId="398388E7" w14:textId="77777777" w:rsidR="007902A5" w:rsidRDefault="007902A5" w:rsidP="007902A5">
      <w:pPr>
        <w:rPr>
          <w:rFonts w:ascii="MyriadPro-Cond" w:eastAsia="MyriadPro-Cond" w:cs="MyriadPro-Cond"/>
        </w:rPr>
      </w:pPr>
      <w:r>
        <w:rPr>
          <w:b/>
        </w:rPr>
        <w:t>Measurement frequency:</w:t>
      </w:r>
      <w:r>
        <w:t xml:space="preserve"> Annual.</w:t>
      </w:r>
    </w:p>
    <w:p w14:paraId="0627E35B" w14:textId="77777777" w:rsidR="007902A5" w:rsidRDefault="007902A5" w:rsidP="007902A5">
      <w:r>
        <w:rPr>
          <w:b/>
        </w:rPr>
        <w:t>Monitoring and evaluation framework:</w:t>
      </w:r>
      <w:r>
        <w:t xml:space="preserve"> Outcome.</w:t>
      </w:r>
    </w:p>
    <w:p w14:paraId="4349E0F1" w14:textId="77777777" w:rsidR="007902A5" w:rsidRDefault="007902A5" w:rsidP="007902A5">
      <w:r>
        <w:rPr>
          <w:b/>
        </w:rPr>
        <w:t>Preferred data sources:</w:t>
      </w:r>
      <w:r>
        <w:t xml:space="preserve"> Individual-level, nationally-representative survey data is the preference for estimating the number of newborns who are breastfed within one hour of birth. For estimating live births, accurate and complete registration data of live births by age of the mother are typically regarded as the gold standard source of information.</w:t>
      </w:r>
    </w:p>
    <w:p w14:paraId="044750F3" w14:textId="169843FE" w:rsidR="007902A5" w:rsidRDefault="007902A5" w:rsidP="007902A5">
      <w:pPr>
        <w:rPr>
          <w:b/>
        </w:rPr>
      </w:pPr>
      <w:r>
        <w:rPr>
          <w:b/>
        </w:rPr>
        <w:t xml:space="preserve"> </w:t>
      </w:r>
    </w:p>
    <w:p w14:paraId="3EF9341F" w14:textId="77777777" w:rsidR="007902A5" w:rsidRDefault="007902A5" w:rsidP="007902A5">
      <w:pPr>
        <w:rPr>
          <w:b/>
        </w:rPr>
      </w:pPr>
    </w:p>
    <w:p w14:paraId="79516BCA" w14:textId="77777777" w:rsidR="007902A5" w:rsidRDefault="007902A5" w:rsidP="007902A5">
      <w:pPr>
        <w:rPr>
          <w:b/>
        </w:rPr>
      </w:pPr>
    </w:p>
    <w:p w14:paraId="43A11F1E" w14:textId="77777777" w:rsidR="007902A5" w:rsidRDefault="007902A5" w:rsidP="007902A5">
      <w:pPr>
        <w:rPr>
          <w:b/>
        </w:rPr>
      </w:pPr>
    </w:p>
    <w:p w14:paraId="173389C2" w14:textId="77777777" w:rsidR="007902A5" w:rsidRDefault="007902A5" w:rsidP="007902A5">
      <w:pPr>
        <w:rPr>
          <w:b/>
        </w:rPr>
      </w:pPr>
    </w:p>
    <w:p w14:paraId="2F38925F" w14:textId="77777777" w:rsidR="007902A5" w:rsidRDefault="007902A5" w:rsidP="007902A5">
      <w:pPr>
        <w:rPr>
          <w:b/>
        </w:rPr>
      </w:pPr>
    </w:p>
    <w:p w14:paraId="28541783" w14:textId="77777777" w:rsidR="007902A5" w:rsidRDefault="007902A5" w:rsidP="007902A5">
      <w:pPr>
        <w:rPr>
          <w:b/>
        </w:rPr>
      </w:pPr>
    </w:p>
    <w:p w14:paraId="3D16BDA1" w14:textId="77777777" w:rsidR="007902A5" w:rsidRDefault="007902A5" w:rsidP="007902A5">
      <w:pPr>
        <w:rPr>
          <w:b/>
        </w:rPr>
      </w:pPr>
    </w:p>
    <w:p w14:paraId="2C759671" w14:textId="77777777" w:rsidR="007902A5" w:rsidRDefault="007902A5" w:rsidP="007902A5">
      <w:pPr>
        <w:rPr>
          <w:b/>
        </w:rPr>
      </w:pPr>
    </w:p>
    <w:p w14:paraId="3619356F" w14:textId="77777777" w:rsidR="007902A5" w:rsidRDefault="007902A5" w:rsidP="007902A5">
      <w:pPr>
        <w:rPr>
          <w:b/>
        </w:rPr>
      </w:pPr>
    </w:p>
    <w:p w14:paraId="4184BECF" w14:textId="062EC70D" w:rsidR="007902A5" w:rsidRDefault="007902A5" w:rsidP="007902A5">
      <w:pPr>
        <w:rPr>
          <w:b/>
        </w:rPr>
      </w:pPr>
    </w:p>
    <w:p w14:paraId="1C98F453" w14:textId="77777777" w:rsidR="007902A5" w:rsidRPr="00FB2277" w:rsidRDefault="007902A5" w:rsidP="007902A5">
      <w:pPr>
        <w:rPr>
          <w:b/>
          <w:i/>
          <w:iCs/>
          <w:color w:val="C00000"/>
          <w:u w:val="single"/>
        </w:rPr>
      </w:pPr>
      <w:r w:rsidRPr="00FB2277">
        <w:rPr>
          <w:b/>
          <w:i/>
          <w:iCs/>
          <w:color w:val="C00000"/>
          <w:u w:val="single"/>
        </w:rPr>
        <w:t>Prevention Indicators</w:t>
      </w:r>
    </w:p>
    <w:p w14:paraId="32E1E7EC" w14:textId="77777777" w:rsidR="007902A5" w:rsidRPr="002B42D9" w:rsidRDefault="007902A5" w:rsidP="007902A5">
      <w:pPr>
        <w:rPr>
          <w:u w:val="single"/>
        </w:rPr>
      </w:pPr>
      <w:r>
        <w:rPr>
          <w:b/>
          <w:u w:val="single"/>
        </w:rPr>
        <w:t xml:space="preserve">3. </w:t>
      </w:r>
      <w:r w:rsidRPr="00202D0A">
        <w:rPr>
          <w:u w:val="single"/>
        </w:rPr>
        <w:t xml:space="preserve">EC immunization </w:t>
      </w:r>
      <w:r w:rsidRPr="002B42D9">
        <w:rPr>
          <w:u w:val="single"/>
        </w:rPr>
        <w:t>(for Streptococcus pneumoniae).</w:t>
      </w:r>
    </w:p>
    <w:p w14:paraId="1F8B256C" w14:textId="77777777" w:rsidR="007902A5" w:rsidRDefault="007902A5" w:rsidP="007902A5">
      <w:pPr>
        <w:rPr>
          <w:rFonts w:ascii="MyriadPro-Cond" w:eastAsia="MyriadPro-Cond" w:cs="MyriadPro-Cond"/>
        </w:rPr>
      </w:pPr>
      <w:r>
        <w:rPr>
          <w:b/>
        </w:rPr>
        <w:t>Domain of Global Reference List:</w:t>
      </w:r>
      <w:r>
        <w:t xml:space="preserve"> Service coverage.</w:t>
      </w:r>
    </w:p>
    <w:p w14:paraId="38276E29" w14:textId="77777777" w:rsidR="007902A5" w:rsidRDefault="007902A5" w:rsidP="007902A5">
      <w:pPr>
        <w:rPr>
          <w:b/>
        </w:rPr>
      </w:pPr>
      <w:r>
        <w:rPr>
          <w:b/>
        </w:rPr>
        <w:t>Rationale:</w:t>
      </w:r>
      <w:r>
        <w:t xml:space="preserve"> It is a tracer indicator. Immunization rates serve as a proxy for the availability of health services for children under 5 years old</w:t>
      </w:r>
    </w:p>
    <w:p w14:paraId="5BB9F123" w14:textId="77777777" w:rsidR="007902A5" w:rsidRDefault="007902A5" w:rsidP="007902A5">
      <w:r>
        <w:rPr>
          <w:b/>
        </w:rPr>
        <w:t>Numerator:</w:t>
      </w:r>
      <w:r>
        <w:t xml:space="preserve"> N</w:t>
      </w:r>
      <w:r w:rsidRPr="00AA46BA">
        <w:t xml:space="preserve">umber </w:t>
      </w:r>
      <w:r>
        <w:t>of children receiving the full course of the pneumococcal vaccine.</w:t>
      </w:r>
    </w:p>
    <w:p w14:paraId="0764A82E" w14:textId="77777777" w:rsidR="007902A5" w:rsidRPr="00D75793" w:rsidRDefault="007902A5" w:rsidP="007902A5">
      <w:r>
        <w:rPr>
          <w:b/>
        </w:rPr>
        <w:t xml:space="preserve">Denominator: </w:t>
      </w:r>
      <w:r>
        <w:t>Number of surviving infants.</w:t>
      </w:r>
    </w:p>
    <w:p w14:paraId="3B94A5BB" w14:textId="77777777" w:rsidR="007902A5" w:rsidRPr="005C1DB3" w:rsidRDefault="007902A5" w:rsidP="007902A5">
      <w:r>
        <w:rPr>
          <w:b/>
        </w:rPr>
        <w:t xml:space="preserve">Case definition: </w:t>
      </w:r>
      <w:r>
        <w:t>Child receives full course of pneumococcal vaccine.</w:t>
      </w:r>
    </w:p>
    <w:p w14:paraId="50A6D98A" w14:textId="77777777" w:rsidR="007902A5" w:rsidRDefault="007902A5" w:rsidP="007902A5">
      <w:r>
        <w:rPr>
          <w:b/>
        </w:rPr>
        <w:t xml:space="preserve">Method of measurement: </w:t>
      </w:r>
      <w:r>
        <w:t xml:space="preserve">The present study used data from household-level surveys as well as administrative reports of immunization coverage. Survey data which provided person-level information on immunization were identified and extracted. Major multi-country survey programs included in the analysis include the Demographic and Health Surveys (DHS), Multiple Indicator Cluster Surveys (MICS), Reproductive Health Surveys (RHS), Living Standards Measurement Study (LSMS) surveys, and World Health Surveys (WHS). We also conducted a comprehensive search of Ministry of Health websites, to identify national surveys and other multi-country survey programs. </w:t>
      </w:r>
    </w:p>
    <w:p w14:paraId="2BF45E79" w14:textId="77777777" w:rsidR="007902A5" w:rsidRDefault="007902A5" w:rsidP="007902A5">
      <w:r>
        <w:t xml:space="preserve">Administrative estimates of immunization coverage were obtained from the Joint Reporting Process (JRF), through which the World Health Organization (WHO) and UNICEF collate annual estimates of immunization coverage reported by UN member states. These immunization coverage estimates are separate from those synthesized by WHO, and are calculated by dividing the number of doses of a given vaccine delivered to the target population (i.e., children aged 12 to 23) by the number of individuals in that target population. </w:t>
      </w:r>
    </w:p>
    <w:p w14:paraId="58D90B8B" w14:textId="77777777" w:rsidR="007902A5" w:rsidRDefault="007902A5" w:rsidP="007902A5">
      <w:pPr>
        <w:rPr>
          <w:rFonts w:ascii="MyriadPro-Cond" w:eastAsia="MyriadPro-Cond" w:cs="MyriadPro-Cond"/>
        </w:rPr>
      </w:pPr>
      <w:r>
        <w:rPr>
          <w:b/>
        </w:rPr>
        <w:t>Measurement frequency:</w:t>
      </w:r>
      <w:r>
        <w:t xml:space="preserve"> Annual.</w:t>
      </w:r>
    </w:p>
    <w:p w14:paraId="199CA732" w14:textId="77777777" w:rsidR="007902A5" w:rsidRDefault="007902A5" w:rsidP="007902A5">
      <w:r>
        <w:rPr>
          <w:b/>
        </w:rPr>
        <w:t>Monitoring and evaluation framework:</w:t>
      </w:r>
      <w:r>
        <w:t xml:space="preserve"> Outcome.</w:t>
      </w:r>
    </w:p>
    <w:p w14:paraId="29C6D885" w14:textId="4801CB38" w:rsidR="007902A5" w:rsidRDefault="007902A5" w:rsidP="007902A5">
      <w:pPr>
        <w:rPr>
          <w:rFonts w:ascii="MyriadPro-Cond" w:eastAsia="MyriadPro-Cond" w:cs="MyriadPro-Cond"/>
        </w:rPr>
      </w:pPr>
      <w:r>
        <w:rPr>
          <w:b/>
        </w:rPr>
        <w:t>Preferred data sources:</w:t>
      </w:r>
      <w:r>
        <w:t xml:space="preserve"> </w:t>
      </w:r>
      <w:r w:rsidR="007F6EAE">
        <w:t>I</w:t>
      </w:r>
      <w:r>
        <w:t>ndividual-level data collected through population health surveys as the most accurate and least biased source of information of vaccination coverage, particularly for geographies with incomplete health information systems.</w:t>
      </w:r>
      <w:r w:rsidR="009D13BC" w:rsidRPr="009D13BC">
        <w:t xml:space="preserve"> Data reported by MoH through </w:t>
      </w:r>
      <w:r w:rsidR="009D13BC">
        <w:t>WHO UNICEF joint reporting form.</w:t>
      </w:r>
    </w:p>
    <w:p w14:paraId="15181DA8" w14:textId="28233E49" w:rsidR="005C4B68" w:rsidRDefault="005C4B68">
      <w:pPr>
        <w:rPr>
          <w:b/>
        </w:rPr>
      </w:pPr>
      <w:r>
        <w:rPr>
          <w:b/>
        </w:rPr>
        <w:br w:type="page"/>
      </w:r>
    </w:p>
    <w:p w14:paraId="535488AF" w14:textId="77777777" w:rsidR="007902A5" w:rsidRPr="002B42D9" w:rsidRDefault="007902A5" w:rsidP="007902A5">
      <w:pPr>
        <w:rPr>
          <w:u w:val="single"/>
        </w:rPr>
      </w:pPr>
      <w:r>
        <w:rPr>
          <w:b/>
          <w:u w:val="single"/>
        </w:rPr>
        <w:t xml:space="preserve">3. </w:t>
      </w:r>
      <w:r w:rsidRPr="00202D0A">
        <w:rPr>
          <w:u w:val="single"/>
        </w:rPr>
        <w:t xml:space="preserve">EC immunization </w:t>
      </w:r>
      <w:r w:rsidRPr="002B42D9">
        <w:rPr>
          <w:u w:val="single"/>
        </w:rPr>
        <w:t>(for measles)</w:t>
      </w:r>
    </w:p>
    <w:p w14:paraId="6D0C829B" w14:textId="77777777" w:rsidR="007902A5" w:rsidRDefault="007902A5" w:rsidP="007902A5">
      <w:pPr>
        <w:rPr>
          <w:rFonts w:ascii="MyriadPro-Cond" w:eastAsia="MyriadPro-Cond" w:cs="MyriadPro-Cond"/>
        </w:rPr>
      </w:pPr>
      <w:r>
        <w:rPr>
          <w:b/>
        </w:rPr>
        <w:t>Domain of Global Reference List:</w:t>
      </w:r>
      <w:r>
        <w:t xml:space="preserve"> Service coverage.</w:t>
      </w:r>
    </w:p>
    <w:p w14:paraId="13FB56C4" w14:textId="77777777" w:rsidR="007902A5" w:rsidRDefault="007902A5" w:rsidP="007902A5">
      <w:pPr>
        <w:rPr>
          <w:b/>
        </w:rPr>
      </w:pPr>
      <w:r>
        <w:rPr>
          <w:b/>
        </w:rPr>
        <w:t>Rationale:</w:t>
      </w:r>
      <w:r>
        <w:t xml:space="preserve"> It is a tracer indicator. Immunization rates serve as a proxy for the availability of health services for children under the age of 5.</w:t>
      </w:r>
    </w:p>
    <w:p w14:paraId="2C3C6AC1" w14:textId="77777777" w:rsidR="007902A5" w:rsidRDefault="007902A5" w:rsidP="007902A5">
      <w:r>
        <w:rPr>
          <w:b/>
        </w:rPr>
        <w:t>Numerator:</w:t>
      </w:r>
      <w:r>
        <w:t xml:space="preserve"> N</w:t>
      </w:r>
      <w:r w:rsidRPr="00AA46BA">
        <w:t xml:space="preserve">umber </w:t>
      </w:r>
      <w:r>
        <w:t>of children receiving the full course of the measles vaccine.</w:t>
      </w:r>
    </w:p>
    <w:p w14:paraId="24D847E1" w14:textId="77777777" w:rsidR="007902A5" w:rsidRPr="00D75793" w:rsidRDefault="007902A5" w:rsidP="007902A5">
      <w:r>
        <w:rPr>
          <w:b/>
        </w:rPr>
        <w:t xml:space="preserve">Denominator: </w:t>
      </w:r>
      <w:r w:rsidRPr="00202D0A">
        <w:t>the number of children in the cohort, according to the vaccination schedule</w:t>
      </w:r>
      <w:r>
        <w:t>.</w:t>
      </w:r>
    </w:p>
    <w:p w14:paraId="184A4D72" w14:textId="77777777" w:rsidR="007902A5" w:rsidRPr="005C1DB3" w:rsidRDefault="007902A5" w:rsidP="007902A5">
      <w:r>
        <w:rPr>
          <w:b/>
        </w:rPr>
        <w:t xml:space="preserve">Case definition: </w:t>
      </w:r>
      <w:r>
        <w:t>Child receives full course of measles vaccine.</w:t>
      </w:r>
    </w:p>
    <w:p w14:paraId="7589C58F" w14:textId="77777777" w:rsidR="007902A5" w:rsidRDefault="007902A5" w:rsidP="007902A5">
      <w:r>
        <w:rPr>
          <w:b/>
        </w:rPr>
        <w:t xml:space="preserve">Method of measurement: </w:t>
      </w:r>
      <w:r>
        <w:t>The present study used data from household-level surveys as well as administrative reports of immunization coverage. Survey data which provided person-level information on immunization were identified and extracted. Major multi-country survey programs included in the analysis include the Demographic and Health Surveys (DHS), Multiple Indicator Cluster Surveys (MICS), Reproductive Health Surveys (RHS), Living Standards Measurement Study (LSMS) surveys, and World Health Surveys (WHS).</w:t>
      </w:r>
    </w:p>
    <w:p w14:paraId="416CF32A" w14:textId="77777777" w:rsidR="007902A5" w:rsidRDefault="007902A5" w:rsidP="007902A5">
      <w:pPr>
        <w:rPr>
          <w:b/>
        </w:rPr>
      </w:pPr>
      <w:r>
        <w:t xml:space="preserve">We also conducted a comprehensive search of Ministry of Health websites, to identify national surveys and other multi-country survey programs. Administrative estimates of immunization coverage were obtained from the Joint Reporting Process, through which the World Health Organization (WHO) and UNICEF collates annual estimates of immunization coverage reported UN member states. These immunization coverage estimates are separate from those synthesized by WHO, and are calculated by dividing the number of doses of a given vaccine delivered to the target population (i.e., children aged 12 to 23) by the number of individuals in that target population. </w:t>
      </w:r>
    </w:p>
    <w:p w14:paraId="0BB9619C" w14:textId="77777777" w:rsidR="007902A5" w:rsidRDefault="007902A5" w:rsidP="007902A5">
      <w:pPr>
        <w:rPr>
          <w:rFonts w:ascii="MyriadPro-Cond" w:eastAsia="MyriadPro-Cond" w:cs="MyriadPro-Cond"/>
        </w:rPr>
      </w:pPr>
      <w:r>
        <w:rPr>
          <w:b/>
        </w:rPr>
        <w:t>Measurement frequency:</w:t>
      </w:r>
      <w:r>
        <w:t xml:space="preserve"> Annual.</w:t>
      </w:r>
    </w:p>
    <w:p w14:paraId="61E25EDC" w14:textId="77777777" w:rsidR="007902A5" w:rsidRDefault="007902A5" w:rsidP="007902A5">
      <w:r>
        <w:rPr>
          <w:b/>
        </w:rPr>
        <w:t>Monitoring and evaluation framework:</w:t>
      </w:r>
      <w:r>
        <w:t xml:space="preserve"> Outcome.</w:t>
      </w:r>
    </w:p>
    <w:p w14:paraId="445DF8CF" w14:textId="759645CB" w:rsidR="007902A5" w:rsidRDefault="007902A5" w:rsidP="007902A5">
      <w:pPr>
        <w:rPr>
          <w:rFonts w:ascii="MyriadPro-Cond" w:eastAsia="MyriadPro-Cond" w:cs="MyriadPro-Cond"/>
        </w:rPr>
      </w:pPr>
      <w:r>
        <w:rPr>
          <w:b/>
        </w:rPr>
        <w:t>Preferred data sources:</w:t>
      </w:r>
      <w:r>
        <w:t xml:space="preserve"> We view individual-level data collected through population health surveys as the most accurate and least biased source of information of vaccination coverage, particularly for geographies with incomplete health information systems.</w:t>
      </w:r>
      <w:r w:rsidR="009D13BC">
        <w:t xml:space="preserve"> </w:t>
      </w:r>
      <w:r w:rsidR="009D13BC" w:rsidRPr="009D13BC">
        <w:t xml:space="preserve">Data reported by MoH through </w:t>
      </w:r>
      <w:r w:rsidR="009D13BC">
        <w:t>WHO UNICEF joint reporting form.</w:t>
      </w:r>
    </w:p>
    <w:p w14:paraId="14DDD674" w14:textId="07DE01AF" w:rsidR="007902A5" w:rsidRDefault="007902A5" w:rsidP="007902A5">
      <w:pPr>
        <w:rPr>
          <w:b/>
        </w:rPr>
      </w:pPr>
    </w:p>
    <w:p w14:paraId="6AF33DFC" w14:textId="77777777" w:rsidR="007F6EAE" w:rsidRDefault="007F6EAE" w:rsidP="007902A5">
      <w:pPr>
        <w:rPr>
          <w:b/>
        </w:rPr>
      </w:pPr>
    </w:p>
    <w:p w14:paraId="1D78CD40" w14:textId="77777777" w:rsidR="007902A5" w:rsidRDefault="007902A5" w:rsidP="007902A5">
      <w:pPr>
        <w:rPr>
          <w:b/>
        </w:rPr>
      </w:pPr>
    </w:p>
    <w:p w14:paraId="3E66D110" w14:textId="77777777" w:rsidR="007902A5" w:rsidRDefault="007902A5" w:rsidP="007902A5">
      <w:pPr>
        <w:rPr>
          <w:b/>
        </w:rPr>
      </w:pPr>
    </w:p>
    <w:p w14:paraId="096F313A" w14:textId="77777777" w:rsidR="007902A5" w:rsidRDefault="007902A5" w:rsidP="007902A5">
      <w:pPr>
        <w:rPr>
          <w:b/>
        </w:rPr>
      </w:pPr>
    </w:p>
    <w:p w14:paraId="33C2458C" w14:textId="77777777" w:rsidR="007902A5" w:rsidRPr="002B42D9" w:rsidRDefault="007902A5" w:rsidP="007902A5">
      <w:pPr>
        <w:rPr>
          <w:u w:val="single"/>
        </w:rPr>
      </w:pPr>
      <w:r>
        <w:rPr>
          <w:b/>
          <w:u w:val="single"/>
        </w:rPr>
        <w:t xml:space="preserve">3. </w:t>
      </w:r>
      <w:r w:rsidRPr="00202D0A">
        <w:rPr>
          <w:u w:val="single"/>
        </w:rPr>
        <w:t xml:space="preserve">EC immunization </w:t>
      </w:r>
      <w:r w:rsidRPr="002B42D9">
        <w:rPr>
          <w:u w:val="single"/>
        </w:rPr>
        <w:t xml:space="preserve">(for diphtheria, pertussis, and tetanus). </w:t>
      </w:r>
    </w:p>
    <w:p w14:paraId="3EF2E0E7" w14:textId="77777777" w:rsidR="007902A5" w:rsidRDefault="007902A5" w:rsidP="007902A5">
      <w:pPr>
        <w:rPr>
          <w:rFonts w:ascii="MyriadPro-Cond" w:eastAsia="MyriadPro-Cond" w:cs="MyriadPro-Cond"/>
        </w:rPr>
      </w:pPr>
      <w:r>
        <w:rPr>
          <w:b/>
        </w:rPr>
        <w:t>Domain of Global Reference List:</w:t>
      </w:r>
      <w:r>
        <w:t xml:space="preserve"> Service coverage.</w:t>
      </w:r>
    </w:p>
    <w:p w14:paraId="06AADDFB" w14:textId="77777777" w:rsidR="007902A5" w:rsidRDefault="007902A5" w:rsidP="007902A5">
      <w:pPr>
        <w:rPr>
          <w:b/>
        </w:rPr>
      </w:pPr>
      <w:r>
        <w:rPr>
          <w:b/>
        </w:rPr>
        <w:t>Rationale:</w:t>
      </w:r>
      <w:r>
        <w:t xml:space="preserve"> It is a tracer indicator. Immunization rates serve as a proxy for the availability of health services for children under the age of 5.</w:t>
      </w:r>
    </w:p>
    <w:p w14:paraId="6412946A" w14:textId="77777777" w:rsidR="007902A5" w:rsidRDefault="007902A5" w:rsidP="007902A5">
      <w:r>
        <w:rPr>
          <w:b/>
        </w:rPr>
        <w:t>Numerator:</w:t>
      </w:r>
      <w:r>
        <w:t xml:space="preserve"> N</w:t>
      </w:r>
      <w:r w:rsidRPr="00AA46BA">
        <w:t xml:space="preserve">umber </w:t>
      </w:r>
      <w:r>
        <w:t>of children receiving the full course of the DTP3 vaccine.</w:t>
      </w:r>
    </w:p>
    <w:p w14:paraId="37D4831F" w14:textId="77777777" w:rsidR="007902A5" w:rsidRPr="00D75793" w:rsidRDefault="007902A5" w:rsidP="007902A5">
      <w:r>
        <w:rPr>
          <w:b/>
        </w:rPr>
        <w:t xml:space="preserve">Denominator: </w:t>
      </w:r>
      <w:r>
        <w:t>Number of surviving infants.</w:t>
      </w:r>
    </w:p>
    <w:p w14:paraId="6EB70337" w14:textId="77777777" w:rsidR="007902A5" w:rsidRPr="005C1DB3" w:rsidRDefault="007902A5" w:rsidP="007902A5">
      <w:r>
        <w:rPr>
          <w:b/>
        </w:rPr>
        <w:t xml:space="preserve">Case definition: </w:t>
      </w:r>
      <w:r>
        <w:t>Child receives full course of DTP3 vaccine.</w:t>
      </w:r>
    </w:p>
    <w:p w14:paraId="7E0355B4" w14:textId="77777777" w:rsidR="007902A5" w:rsidRDefault="007902A5" w:rsidP="007902A5">
      <w:r>
        <w:rPr>
          <w:b/>
        </w:rPr>
        <w:t xml:space="preserve">Method of measurement: </w:t>
      </w:r>
      <w:r>
        <w:t>The present study used data from household-level surveys as well as administrative reports of immunization coverage. Survey data which provided person-level information on immunization were identified and extracted. Major multi-country survey programs included in the analysis include the Demographic and Health Surveys (DHS), Multiple Indicator Cluster Surveys (MICS), Reproductive Health Surveys (RHS), Living Standards Measurement Study (LSMS) surveys, and World Health Surveys (WHS).</w:t>
      </w:r>
    </w:p>
    <w:p w14:paraId="60FBDCFD" w14:textId="77777777" w:rsidR="007902A5" w:rsidRDefault="007902A5" w:rsidP="007902A5">
      <w:r>
        <w:t xml:space="preserve">We also conducted a comprehensive search of Ministry of Health websites, to identify national surveys and other multi-country survey programs. Administrative estimates of immunization coverage were obtained from the Joint Reporting Process, through which the World Health Organization (WHO) and UNICEF collates annual estimates of immunization coverage reported UN member states. These immunization coverage estimates are separate from those synthesized by WHO and are calculated by dividing the number of doses of a given vaccine delivered to the target population (i.e., children aged 12 to 23) by the number of individuals in that target population. </w:t>
      </w:r>
    </w:p>
    <w:p w14:paraId="3959C6D4" w14:textId="77777777" w:rsidR="007902A5" w:rsidRDefault="007902A5" w:rsidP="007902A5">
      <w:pPr>
        <w:rPr>
          <w:rFonts w:ascii="MyriadPro-Cond" w:eastAsia="MyriadPro-Cond" w:cs="MyriadPro-Cond"/>
        </w:rPr>
      </w:pPr>
      <w:r>
        <w:rPr>
          <w:b/>
        </w:rPr>
        <w:t>Measurement frequency:</w:t>
      </w:r>
      <w:r>
        <w:t xml:space="preserve"> Annual.</w:t>
      </w:r>
    </w:p>
    <w:p w14:paraId="442D8297" w14:textId="77777777" w:rsidR="007902A5" w:rsidRDefault="007902A5" w:rsidP="007902A5">
      <w:r>
        <w:rPr>
          <w:b/>
        </w:rPr>
        <w:t>Monitoring and evaluation framework:</w:t>
      </w:r>
      <w:r>
        <w:t xml:space="preserve"> Outcome.</w:t>
      </w:r>
    </w:p>
    <w:p w14:paraId="20F7B0F3" w14:textId="2E30E3C5" w:rsidR="007902A5" w:rsidRDefault="007902A5" w:rsidP="007902A5">
      <w:pPr>
        <w:rPr>
          <w:rFonts w:ascii="MyriadPro-Cond" w:eastAsia="MyriadPro-Cond" w:cs="MyriadPro-Cond"/>
        </w:rPr>
      </w:pPr>
      <w:r>
        <w:rPr>
          <w:b/>
        </w:rPr>
        <w:t>Preferred data sources:</w:t>
      </w:r>
      <w:r>
        <w:t xml:space="preserve"> We view individual-level data collected through population health surveys as the most accurate and least biased source of information of vaccination coverage, particularly for geographies with incomplete health information systems. </w:t>
      </w:r>
      <w:r w:rsidR="009D13BC" w:rsidRPr="009D13BC">
        <w:t xml:space="preserve">Data reported by MoH through </w:t>
      </w:r>
      <w:r w:rsidR="009D13BC">
        <w:t>WHO UNICEF joint reporting form.</w:t>
      </w:r>
    </w:p>
    <w:p w14:paraId="594C28CD" w14:textId="40E29C7F" w:rsidR="007902A5" w:rsidRPr="00610D00" w:rsidRDefault="007902A5" w:rsidP="007902A5"/>
    <w:p w14:paraId="59C62819" w14:textId="77777777" w:rsidR="007902A5" w:rsidRDefault="007902A5" w:rsidP="007902A5">
      <w:pPr>
        <w:rPr>
          <w:b/>
        </w:rPr>
      </w:pPr>
    </w:p>
    <w:p w14:paraId="21FD28F1" w14:textId="77777777" w:rsidR="007902A5" w:rsidRDefault="007902A5" w:rsidP="007902A5">
      <w:pPr>
        <w:rPr>
          <w:b/>
        </w:rPr>
      </w:pPr>
    </w:p>
    <w:p w14:paraId="08186192" w14:textId="77777777" w:rsidR="007902A5" w:rsidRDefault="007902A5" w:rsidP="007902A5">
      <w:pPr>
        <w:rPr>
          <w:b/>
        </w:rPr>
      </w:pPr>
    </w:p>
    <w:p w14:paraId="2A63E479" w14:textId="77777777" w:rsidR="007902A5" w:rsidRDefault="007902A5" w:rsidP="007902A5">
      <w:pPr>
        <w:rPr>
          <w:b/>
        </w:rPr>
      </w:pPr>
    </w:p>
    <w:p w14:paraId="44934FD2" w14:textId="5467FFF0" w:rsidR="007902A5" w:rsidRPr="002B42D9" w:rsidRDefault="007902A5" w:rsidP="007902A5">
      <w:pPr>
        <w:rPr>
          <w:u w:val="single"/>
        </w:rPr>
      </w:pPr>
      <w:r>
        <w:rPr>
          <w:b/>
          <w:u w:val="single"/>
        </w:rPr>
        <w:t xml:space="preserve">4. </w:t>
      </w:r>
      <w:r w:rsidRPr="00202D0A">
        <w:rPr>
          <w:u w:val="single"/>
        </w:rPr>
        <w:t>EC neglected tropical diseases preventive services</w:t>
      </w:r>
    </w:p>
    <w:p w14:paraId="6269FB89" w14:textId="77777777" w:rsidR="007902A5" w:rsidRDefault="007902A5" w:rsidP="007902A5">
      <w:pPr>
        <w:rPr>
          <w:rFonts w:ascii="MyriadPro-Cond" w:eastAsia="MyriadPro-Cond" w:cs="MyriadPro-Cond"/>
        </w:rPr>
      </w:pPr>
      <w:r>
        <w:rPr>
          <w:b/>
        </w:rPr>
        <w:t>Domain of Global Reference List:</w:t>
      </w:r>
      <w:r>
        <w:t xml:space="preserve"> Service coverage.</w:t>
      </w:r>
    </w:p>
    <w:p w14:paraId="16E3A537" w14:textId="77777777" w:rsidR="007902A5" w:rsidRDefault="007902A5" w:rsidP="007902A5">
      <w:pPr>
        <w:rPr>
          <w:b/>
        </w:rPr>
      </w:pPr>
      <w:r>
        <w:rPr>
          <w:b/>
        </w:rPr>
        <w:t>Rationale:</w:t>
      </w:r>
      <w:r>
        <w:t xml:space="preserve"> It is a tracer indicator. The proportion of people receiving preventive chemotherapy is an important marker of health services among children under the age of 5.</w:t>
      </w:r>
    </w:p>
    <w:p w14:paraId="3645FEC8" w14:textId="77777777" w:rsidR="007902A5" w:rsidRDefault="007902A5" w:rsidP="007902A5">
      <w:r>
        <w:rPr>
          <w:b/>
        </w:rPr>
        <w:t>Numerator:</w:t>
      </w:r>
      <w:r>
        <w:t xml:space="preserve"> </w:t>
      </w:r>
      <w:r w:rsidRPr="00202D0A">
        <w:t>number of people receiving preventive therapy for lymphatic filariasis, onchocerciasis, schistosomiasis, soil-transmitted helminthiases and trachoma</w:t>
      </w:r>
      <w:r>
        <w:t>.</w:t>
      </w:r>
    </w:p>
    <w:p w14:paraId="364C034B" w14:textId="77777777" w:rsidR="007902A5" w:rsidRPr="00D75793" w:rsidRDefault="007902A5" w:rsidP="007902A5">
      <w:r>
        <w:rPr>
          <w:b/>
        </w:rPr>
        <w:t xml:space="preserve">Denominator: </w:t>
      </w:r>
      <w:r w:rsidRPr="00275642">
        <w:t>number of people requiring treatment for lymphatic filariasis, onchocerciasis, schistosomiasis, soil-transmitted helminthiases and trachoma</w:t>
      </w:r>
      <w:r>
        <w:t>.</w:t>
      </w:r>
    </w:p>
    <w:p w14:paraId="1D271669" w14:textId="77777777" w:rsidR="007902A5" w:rsidRPr="00E377FF" w:rsidRDefault="007902A5" w:rsidP="007902A5">
      <w:r>
        <w:rPr>
          <w:b/>
        </w:rPr>
        <w:t xml:space="preserve">Case definition: </w:t>
      </w:r>
      <w:r>
        <w:t>A person who received preventive chemotherapy is considered to be a case.</w:t>
      </w:r>
    </w:p>
    <w:p w14:paraId="7F937C87" w14:textId="77777777" w:rsidR="007902A5" w:rsidRPr="00B872EB" w:rsidRDefault="007902A5" w:rsidP="007902A5">
      <w:r>
        <w:rPr>
          <w:b/>
        </w:rPr>
        <w:t xml:space="preserve">Method of measurement: </w:t>
      </w:r>
      <w:r>
        <w:t>WHO PCT databank.</w:t>
      </w:r>
    </w:p>
    <w:p w14:paraId="581D44B2" w14:textId="77777777" w:rsidR="007902A5" w:rsidRDefault="007902A5" w:rsidP="007902A5">
      <w:pPr>
        <w:rPr>
          <w:rFonts w:ascii="MyriadPro-Cond" w:eastAsia="MyriadPro-Cond" w:cs="MyriadPro-Cond"/>
        </w:rPr>
      </w:pPr>
      <w:r>
        <w:rPr>
          <w:b/>
        </w:rPr>
        <w:t>Measurement frequency:</w:t>
      </w:r>
      <w:r>
        <w:t xml:space="preserve"> Annual.</w:t>
      </w:r>
    </w:p>
    <w:p w14:paraId="75E15207" w14:textId="77777777" w:rsidR="007902A5" w:rsidRDefault="007902A5" w:rsidP="007902A5">
      <w:r>
        <w:rPr>
          <w:b/>
        </w:rPr>
        <w:t>Monitoring and evaluation framework:</w:t>
      </w:r>
      <w:r>
        <w:t xml:space="preserve"> Outcome.</w:t>
      </w:r>
    </w:p>
    <w:p w14:paraId="6014CFED" w14:textId="77777777" w:rsidR="007902A5" w:rsidRDefault="007902A5" w:rsidP="007902A5">
      <w:pPr>
        <w:rPr>
          <w:rFonts w:ascii="MyriadPro-Cond" w:eastAsia="MyriadPro-Cond" w:cs="MyriadPro-Cond"/>
        </w:rPr>
      </w:pPr>
      <w:r>
        <w:rPr>
          <w:b/>
        </w:rPr>
        <w:t>Preferred data sources:</w:t>
      </w:r>
      <w:r>
        <w:t xml:space="preserve"> WHO PCT databank.</w:t>
      </w:r>
    </w:p>
    <w:p w14:paraId="693587C9" w14:textId="34D28EDA" w:rsidR="007902A5" w:rsidRDefault="007902A5" w:rsidP="007902A5">
      <w:pPr>
        <w:rPr>
          <w:b/>
        </w:rPr>
      </w:pPr>
    </w:p>
    <w:p w14:paraId="0CBF13EB" w14:textId="77777777" w:rsidR="005C4B68" w:rsidRDefault="005C4B68" w:rsidP="007902A5">
      <w:pPr>
        <w:rPr>
          <w:b/>
        </w:rPr>
      </w:pPr>
    </w:p>
    <w:p w14:paraId="45A722E1" w14:textId="77777777" w:rsidR="007902A5" w:rsidRDefault="007902A5" w:rsidP="007902A5">
      <w:pPr>
        <w:rPr>
          <w:b/>
        </w:rPr>
      </w:pPr>
    </w:p>
    <w:p w14:paraId="37F1EB0E" w14:textId="77777777" w:rsidR="007902A5" w:rsidRDefault="007902A5" w:rsidP="007902A5">
      <w:pPr>
        <w:rPr>
          <w:b/>
        </w:rPr>
      </w:pPr>
    </w:p>
    <w:p w14:paraId="56D33F57" w14:textId="77777777" w:rsidR="007902A5" w:rsidRDefault="007902A5" w:rsidP="007902A5">
      <w:pPr>
        <w:rPr>
          <w:b/>
        </w:rPr>
      </w:pPr>
    </w:p>
    <w:p w14:paraId="0131E2D9" w14:textId="77777777" w:rsidR="007902A5" w:rsidRDefault="007902A5" w:rsidP="007902A5">
      <w:pPr>
        <w:rPr>
          <w:b/>
        </w:rPr>
      </w:pPr>
    </w:p>
    <w:p w14:paraId="71D84412" w14:textId="77777777" w:rsidR="007902A5" w:rsidRDefault="007902A5" w:rsidP="007902A5">
      <w:pPr>
        <w:rPr>
          <w:b/>
        </w:rPr>
      </w:pPr>
    </w:p>
    <w:p w14:paraId="10B84AF3" w14:textId="77777777" w:rsidR="007902A5" w:rsidRDefault="007902A5" w:rsidP="007902A5">
      <w:pPr>
        <w:rPr>
          <w:b/>
        </w:rPr>
      </w:pPr>
    </w:p>
    <w:p w14:paraId="091FF438" w14:textId="77777777" w:rsidR="007902A5" w:rsidRDefault="007902A5" w:rsidP="007902A5">
      <w:pPr>
        <w:rPr>
          <w:b/>
        </w:rPr>
      </w:pPr>
    </w:p>
    <w:p w14:paraId="29E8B4B4" w14:textId="77777777" w:rsidR="007902A5" w:rsidRDefault="007902A5" w:rsidP="007902A5">
      <w:pPr>
        <w:rPr>
          <w:b/>
        </w:rPr>
      </w:pPr>
    </w:p>
    <w:p w14:paraId="5F69253F" w14:textId="77777777" w:rsidR="007902A5" w:rsidRDefault="007902A5" w:rsidP="007902A5">
      <w:pPr>
        <w:rPr>
          <w:b/>
        </w:rPr>
      </w:pPr>
    </w:p>
    <w:p w14:paraId="5FC6C324" w14:textId="77777777" w:rsidR="007902A5" w:rsidRDefault="007902A5" w:rsidP="007902A5">
      <w:pPr>
        <w:rPr>
          <w:b/>
        </w:rPr>
      </w:pPr>
    </w:p>
    <w:p w14:paraId="4C2C37F0" w14:textId="5BF77781" w:rsidR="007902A5" w:rsidRDefault="007902A5" w:rsidP="007902A5">
      <w:pPr>
        <w:rPr>
          <w:b/>
          <w:u w:val="single"/>
        </w:rPr>
      </w:pPr>
    </w:p>
    <w:p w14:paraId="576ACCB3" w14:textId="5B6C2053" w:rsidR="007902A5" w:rsidRPr="002B42D9" w:rsidRDefault="007902A5" w:rsidP="007902A5">
      <w:pPr>
        <w:rPr>
          <w:u w:val="single"/>
        </w:rPr>
      </w:pPr>
      <w:r>
        <w:rPr>
          <w:b/>
          <w:u w:val="single"/>
        </w:rPr>
        <w:t xml:space="preserve">5. </w:t>
      </w:r>
      <w:r w:rsidRPr="00275642">
        <w:rPr>
          <w:u w:val="single"/>
        </w:rPr>
        <w:t>EC vector control for malaria</w:t>
      </w:r>
    </w:p>
    <w:p w14:paraId="373BD90D" w14:textId="77777777" w:rsidR="007902A5" w:rsidRDefault="007902A5" w:rsidP="007902A5">
      <w:pPr>
        <w:rPr>
          <w:rFonts w:ascii="MyriadPro-Cond" w:eastAsia="MyriadPro-Cond" w:cs="MyriadPro-Cond"/>
        </w:rPr>
      </w:pPr>
      <w:r>
        <w:rPr>
          <w:b/>
        </w:rPr>
        <w:t>Domain of Global Reference List:</w:t>
      </w:r>
      <w:r>
        <w:t xml:space="preserve"> Service coverage.</w:t>
      </w:r>
    </w:p>
    <w:p w14:paraId="0E02A264" w14:textId="77777777" w:rsidR="007902A5" w:rsidRDefault="007902A5" w:rsidP="007902A5">
      <w:pPr>
        <w:rPr>
          <w:b/>
        </w:rPr>
      </w:pPr>
      <w:r>
        <w:rPr>
          <w:b/>
        </w:rPr>
        <w:t>Rationale:</w:t>
      </w:r>
      <w:r>
        <w:t xml:space="preserve"> It is a tracer indicator. It is an important marker of preventive health services.</w:t>
      </w:r>
    </w:p>
    <w:p w14:paraId="161C8191" w14:textId="77777777" w:rsidR="007902A5" w:rsidRDefault="007902A5" w:rsidP="007902A5">
      <w:r>
        <w:rPr>
          <w:b/>
        </w:rPr>
        <w:t>Numerator:</w:t>
      </w:r>
      <w:r>
        <w:t xml:space="preserve"> </w:t>
      </w:r>
      <w:r w:rsidRPr="00275642">
        <w:t>number of people who slept under an insecticide-treated net or number of households that received effective indoor residual spraying</w:t>
      </w:r>
      <w:r>
        <w:t>.</w:t>
      </w:r>
    </w:p>
    <w:p w14:paraId="5EA343BB" w14:textId="77777777" w:rsidR="007902A5" w:rsidRPr="00D75793" w:rsidRDefault="007902A5" w:rsidP="007902A5">
      <w:r>
        <w:rPr>
          <w:b/>
        </w:rPr>
        <w:t xml:space="preserve">Denominator: </w:t>
      </w:r>
      <w:r w:rsidRPr="00275642">
        <w:t>population at risk of malaria targeted for the intervention</w:t>
      </w:r>
      <w:r>
        <w:t>.</w:t>
      </w:r>
    </w:p>
    <w:p w14:paraId="386A55A5" w14:textId="77777777" w:rsidR="007902A5" w:rsidRPr="005C1DB3" w:rsidRDefault="007902A5" w:rsidP="007902A5">
      <w:r>
        <w:rPr>
          <w:b/>
        </w:rPr>
        <w:t xml:space="preserve">Case definition: </w:t>
      </w:r>
      <w:r>
        <w:t>Malaria is an acute parasitic mosquito-borne disease. An individual with uncomplicated malaria experiences one to two weeks of persistent fever, chills/shivering, sweating, joint pains, and headache. The individual will likely be lethargic and feverish, causing loss of daily function during the attack. Individuals with an untreated P. falciparum infection may develop severe malaria, which includes the symptoms of uncomplicated malaria but may also involve swelling, difficulty breathing, unconsciousness, and death. Microscopy is considered the gold-standard diagnostic approach. The relevant ICD-10 codes are B50-B54.</w:t>
      </w:r>
    </w:p>
    <w:p w14:paraId="62646651" w14:textId="77777777" w:rsidR="007902A5" w:rsidRPr="00533E2C" w:rsidRDefault="007902A5" w:rsidP="007902A5">
      <w:r>
        <w:rPr>
          <w:b/>
        </w:rPr>
        <w:t xml:space="preserve">Method of measurement: </w:t>
      </w:r>
      <w:r>
        <w:t xml:space="preserve">WHO World Malaria Report. </w:t>
      </w:r>
    </w:p>
    <w:p w14:paraId="40B6274A" w14:textId="77777777" w:rsidR="007902A5" w:rsidRDefault="007902A5" w:rsidP="007902A5">
      <w:pPr>
        <w:rPr>
          <w:rFonts w:ascii="MyriadPro-Cond" w:eastAsia="MyriadPro-Cond" w:cs="MyriadPro-Cond"/>
        </w:rPr>
      </w:pPr>
      <w:r>
        <w:rPr>
          <w:b/>
        </w:rPr>
        <w:t>Measurement frequency:</w:t>
      </w:r>
      <w:r>
        <w:t xml:space="preserve"> Annual.</w:t>
      </w:r>
    </w:p>
    <w:p w14:paraId="270E1102" w14:textId="77777777" w:rsidR="007902A5" w:rsidRDefault="007902A5" w:rsidP="007902A5">
      <w:r>
        <w:rPr>
          <w:b/>
        </w:rPr>
        <w:t>Monitoring and evaluation framework:</w:t>
      </w:r>
      <w:r>
        <w:t xml:space="preserve"> Outcome.</w:t>
      </w:r>
    </w:p>
    <w:p w14:paraId="61AF4C5F" w14:textId="77777777" w:rsidR="007902A5" w:rsidRDefault="007902A5" w:rsidP="007902A5">
      <w:pPr>
        <w:rPr>
          <w:rFonts w:ascii="MyriadPro-Cond" w:eastAsia="MyriadPro-Cond" w:cs="MyriadPro-Cond"/>
        </w:rPr>
      </w:pPr>
      <w:r>
        <w:rPr>
          <w:b/>
        </w:rPr>
        <w:t>Preferred data sources:</w:t>
      </w:r>
      <w:r>
        <w:t xml:space="preserve"> WHO World Malaria Report data.</w:t>
      </w:r>
    </w:p>
    <w:p w14:paraId="4CF68138" w14:textId="77777777" w:rsidR="007902A5" w:rsidRDefault="007902A5" w:rsidP="007902A5">
      <w:pPr>
        <w:rPr>
          <w:b/>
        </w:rPr>
      </w:pPr>
    </w:p>
    <w:p w14:paraId="27C811F8" w14:textId="77777777" w:rsidR="007902A5" w:rsidRDefault="007902A5" w:rsidP="007902A5">
      <w:pPr>
        <w:rPr>
          <w:b/>
        </w:rPr>
      </w:pPr>
    </w:p>
    <w:p w14:paraId="41661BA7" w14:textId="77777777" w:rsidR="007902A5" w:rsidRDefault="007902A5" w:rsidP="007902A5">
      <w:pPr>
        <w:rPr>
          <w:b/>
        </w:rPr>
      </w:pPr>
    </w:p>
    <w:p w14:paraId="053FB73B" w14:textId="77777777" w:rsidR="007902A5" w:rsidRDefault="007902A5" w:rsidP="007902A5">
      <w:pPr>
        <w:rPr>
          <w:b/>
        </w:rPr>
      </w:pPr>
    </w:p>
    <w:p w14:paraId="7864F293" w14:textId="77777777" w:rsidR="007902A5" w:rsidRDefault="007902A5" w:rsidP="007902A5">
      <w:pPr>
        <w:rPr>
          <w:b/>
        </w:rPr>
      </w:pPr>
    </w:p>
    <w:p w14:paraId="53BAEEAE" w14:textId="77777777" w:rsidR="007902A5" w:rsidRDefault="007902A5" w:rsidP="007902A5">
      <w:pPr>
        <w:rPr>
          <w:b/>
        </w:rPr>
      </w:pPr>
    </w:p>
    <w:p w14:paraId="45637E06" w14:textId="77777777" w:rsidR="007902A5" w:rsidRDefault="007902A5" w:rsidP="007902A5">
      <w:pPr>
        <w:rPr>
          <w:b/>
        </w:rPr>
      </w:pPr>
    </w:p>
    <w:p w14:paraId="14E68CD7" w14:textId="77777777" w:rsidR="007902A5" w:rsidRDefault="007902A5" w:rsidP="007902A5">
      <w:pPr>
        <w:rPr>
          <w:b/>
        </w:rPr>
      </w:pPr>
    </w:p>
    <w:p w14:paraId="6BB5D3B8" w14:textId="77777777" w:rsidR="007902A5" w:rsidRDefault="007902A5" w:rsidP="007902A5">
      <w:pPr>
        <w:rPr>
          <w:b/>
        </w:rPr>
      </w:pPr>
    </w:p>
    <w:p w14:paraId="19F17C1F" w14:textId="5E210783" w:rsidR="007902A5" w:rsidRDefault="007902A5" w:rsidP="007902A5">
      <w:pPr>
        <w:rPr>
          <w:b/>
        </w:rPr>
      </w:pPr>
    </w:p>
    <w:p w14:paraId="342A13FE" w14:textId="77777777" w:rsidR="005C4B68" w:rsidRDefault="005C4B68" w:rsidP="007902A5">
      <w:pPr>
        <w:rPr>
          <w:b/>
        </w:rPr>
      </w:pPr>
    </w:p>
    <w:p w14:paraId="60337CCA" w14:textId="3B6DAD74" w:rsidR="007902A5" w:rsidRPr="00FB2277" w:rsidRDefault="007902A5" w:rsidP="007902A5">
      <w:pPr>
        <w:rPr>
          <w:u w:val="single"/>
        </w:rPr>
      </w:pPr>
      <w:r>
        <w:rPr>
          <w:b/>
          <w:u w:val="single"/>
        </w:rPr>
        <w:t xml:space="preserve">6. </w:t>
      </w:r>
      <w:r w:rsidRPr="00275642">
        <w:rPr>
          <w:bCs/>
          <w:u w:val="single"/>
        </w:rPr>
        <w:t>EC human papillomavirus immunization</w:t>
      </w:r>
    </w:p>
    <w:p w14:paraId="32472ED2" w14:textId="77777777" w:rsidR="007902A5" w:rsidRDefault="007902A5" w:rsidP="007902A5">
      <w:pPr>
        <w:rPr>
          <w:rFonts w:ascii="MyriadPro-Cond" w:eastAsia="MyriadPro-Cond" w:cs="MyriadPro-Cond"/>
        </w:rPr>
      </w:pPr>
      <w:r>
        <w:rPr>
          <w:b/>
        </w:rPr>
        <w:t>Domain of Global Reference List:</w:t>
      </w:r>
      <w:r>
        <w:t xml:space="preserve"> Service coverage.</w:t>
      </w:r>
    </w:p>
    <w:p w14:paraId="6FDBF52B" w14:textId="77777777" w:rsidR="007902A5" w:rsidRDefault="007902A5" w:rsidP="007902A5">
      <w:pPr>
        <w:rPr>
          <w:b/>
        </w:rPr>
      </w:pPr>
      <w:r>
        <w:rPr>
          <w:b/>
        </w:rPr>
        <w:t>Rationale:</w:t>
      </w:r>
      <w:r>
        <w:t xml:space="preserve"> It is a tracer indicator. It is an important marker of health services available for young women.</w:t>
      </w:r>
    </w:p>
    <w:p w14:paraId="64596C61" w14:textId="77777777" w:rsidR="007902A5" w:rsidRDefault="007902A5" w:rsidP="007902A5">
      <w:pPr>
        <w:rPr>
          <w:b/>
        </w:rPr>
      </w:pPr>
      <w:r>
        <w:rPr>
          <w:b/>
        </w:rPr>
        <w:t>Numerator:</w:t>
      </w:r>
      <w:r>
        <w:t xml:space="preserve"> </w:t>
      </w:r>
      <w:r w:rsidRPr="00275642">
        <w:t>number of girls receiving the final dose of human papillomavirus vaccine during the calendar year</w:t>
      </w:r>
      <w:r>
        <w:t>.</w:t>
      </w:r>
    </w:p>
    <w:p w14:paraId="559FA585" w14:textId="77777777" w:rsidR="007902A5" w:rsidRPr="00D75793" w:rsidRDefault="007902A5" w:rsidP="007902A5">
      <w:r>
        <w:rPr>
          <w:b/>
        </w:rPr>
        <w:t xml:space="preserve">Denominator: </w:t>
      </w:r>
      <w:r w:rsidRPr="00275642">
        <w:t>the number of girls in the cohort, according to the vaccination schedule</w:t>
      </w:r>
      <w:r>
        <w:t>.</w:t>
      </w:r>
    </w:p>
    <w:p w14:paraId="689DC8D0" w14:textId="77777777" w:rsidR="007902A5" w:rsidRPr="001E6F93" w:rsidRDefault="007902A5" w:rsidP="007902A5">
      <w:r>
        <w:rPr>
          <w:b/>
        </w:rPr>
        <w:t xml:space="preserve">Case definition: </w:t>
      </w:r>
      <w:r>
        <w:t>A case is a girl who receives the full course of HPV vaccines.</w:t>
      </w:r>
    </w:p>
    <w:p w14:paraId="082DCA2D" w14:textId="77777777" w:rsidR="007902A5" w:rsidRPr="00B872EB" w:rsidRDefault="007902A5" w:rsidP="007902A5">
      <w:r>
        <w:rPr>
          <w:b/>
        </w:rPr>
        <w:t xml:space="preserve">Method of measurement: </w:t>
      </w:r>
    </w:p>
    <w:p w14:paraId="5FB1E86D" w14:textId="77777777" w:rsidR="007902A5" w:rsidRDefault="007902A5" w:rsidP="007902A5">
      <w:pPr>
        <w:rPr>
          <w:rFonts w:ascii="MyriadPro-Cond" w:eastAsia="MyriadPro-Cond" w:cs="MyriadPro-Cond"/>
        </w:rPr>
      </w:pPr>
      <w:r>
        <w:rPr>
          <w:b/>
        </w:rPr>
        <w:t>Measurement frequency:</w:t>
      </w:r>
      <w:r>
        <w:t xml:space="preserve"> Annual.</w:t>
      </w:r>
    </w:p>
    <w:p w14:paraId="472E93C2" w14:textId="77777777" w:rsidR="007902A5" w:rsidRDefault="007902A5" w:rsidP="007902A5">
      <w:r>
        <w:rPr>
          <w:b/>
        </w:rPr>
        <w:t>Monitoring and evaluation framework:</w:t>
      </w:r>
      <w:r>
        <w:t xml:space="preserve"> Outcome.</w:t>
      </w:r>
    </w:p>
    <w:p w14:paraId="60E76479" w14:textId="1B28C9A9" w:rsidR="007902A5" w:rsidRDefault="007902A5" w:rsidP="007902A5">
      <w:pPr>
        <w:rPr>
          <w:rFonts w:ascii="MyriadPro-Cond" w:eastAsia="MyriadPro-Cond" w:cs="MyriadPro-Cond"/>
        </w:rPr>
      </w:pPr>
      <w:r>
        <w:rPr>
          <w:b/>
        </w:rPr>
        <w:t>Preferred data sources:</w:t>
      </w:r>
      <w:r>
        <w:t xml:space="preserve"> </w:t>
      </w:r>
      <w:r w:rsidR="009D13BC" w:rsidRPr="009D13BC">
        <w:t>Data reported by MoH through WHO UNICEF joint reporting form and immunization</w:t>
      </w:r>
      <w:r w:rsidR="009D13BC">
        <w:t>.</w:t>
      </w:r>
    </w:p>
    <w:p w14:paraId="28065E7C" w14:textId="23B2164B" w:rsidR="007902A5" w:rsidRPr="00610D00" w:rsidRDefault="007902A5" w:rsidP="007902A5">
      <w:r>
        <w:rPr>
          <w:b/>
        </w:rPr>
        <w:t xml:space="preserve"> </w:t>
      </w:r>
    </w:p>
    <w:p w14:paraId="17637D70" w14:textId="77777777" w:rsidR="007902A5" w:rsidRDefault="007902A5" w:rsidP="007902A5">
      <w:pPr>
        <w:rPr>
          <w:b/>
          <w:u w:val="single"/>
        </w:rPr>
      </w:pPr>
    </w:p>
    <w:p w14:paraId="5ECFE29D" w14:textId="77777777" w:rsidR="007902A5" w:rsidRDefault="007902A5" w:rsidP="007902A5">
      <w:pPr>
        <w:rPr>
          <w:b/>
          <w:u w:val="single"/>
        </w:rPr>
      </w:pPr>
    </w:p>
    <w:p w14:paraId="68359253" w14:textId="77777777" w:rsidR="007902A5" w:rsidRDefault="007902A5" w:rsidP="007902A5">
      <w:pPr>
        <w:rPr>
          <w:b/>
          <w:u w:val="single"/>
        </w:rPr>
      </w:pPr>
    </w:p>
    <w:p w14:paraId="6A3B6C91" w14:textId="77777777" w:rsidR="007902A5" w:rsidRDefault="007902A5" w:rsidP="007902A5">
      <w:pPr>
        <w:rPr>
          <w:b/>
          <w:u w:val="single"/>
        </w:rPr>
      </w:pPr>
    </w:p>
    <w:p w14:paraId="04C0DE88" w14:textId="77777777" w:rsidR="007902A5" w:rsidRDefault="007902A5" w:rsidP="007902A5">
      <w:pPr>
        <w:rPr>
          <w:b/>
          <w:u w:val="single"/>
        </w:rPr>
      </w:pPr>
    </w:p>
    <w:p w14:paraId="7625B170" w14:textId="77777777" w:rsidR="007902A5" w:rsidRDefault="007902A5" w:rsidP="007902A5">
      <w:pPr>
        <w:rPr>
          <w:b/>
          <w:u w:val="single"/>
        </w:rPr>
      </w:pPr>
    </w:p>
    <w:p w14:paraId="1F151212" w14:textId="77777777" w:rsidR="007902A5" w:rsidRDefault="007902A5" w:rsidP="007902A5">
      <w:pPr>
        <w:rPr>
          <w:b/>
          <w:u w:val="single"/>
        </w:rPr>
      </w:pPr>
    </w:p>
    <w:p w14:paraId="06630419" w14:textId="77777777" w:rsidR="007902A5" w:rsidRDefault="007902A5" w:rsidP="007902A5">
      <w:pPr>
        <w:rPr>
          <w:b/>
          <w:u w:val="single"/>
        </w:rPr>
      </w:pPr>
    </w:p>
    <w:p w14:paraId="1FA0F878" w14:textId="77777777" w:rsidR="007902A5" w:rsidRDefault="007902A5" w:rsidP="007902A5">
      <w:pPr>
        <w:rPr>
          <w:b/>
          <w:u w:val="single"/>
        </w:rPr>
      </w:pPr>
    </w:p>
    <w:p w14:paraId="7D68CEB5" w14:textId="77777777" w:rsidR="007902A5" w:rsidRDefault="007902A5" w:rsidP="007902A5">
      <w:pPr>
        <w:rPr>
          <w:b/>
          <w:u w:val="single"/>
        </w:rPr>
      </w:pPr>
    </w:p>
    <w:p w14:paraId="38CF0205" w14:textId="77777777" w:rsidR="007902A5" w:rsidRDefault="007902A5" w:rsidP="007902A5">
      <w:pPr>
        <w:rPr>
          <w:b/>
          <w:u w:val="single"/>
        </w:rPr>
      </w:pPr>
    </w:p>
    <w:p w14:paraId="788D54DA" w14:textId="77777777" w:rsidR="007902A5" w:rsidRDefault="007902A5" w:rsidP="007902A5">
      <w:pPr>
        <w:rPr>
          <w:b/>
          <w:u w:val="single"/>
        </w:rPr>
      </w:pPr>
    </w:p>
    <w:p w14:paraId="37F87C8A" w14:textId="30A6EA30" w:rsidR="007902A5" w:rsidRDefault="007902A5" w:rsidP="007902A5">
      <w:pPr>
        <w:rPr>
          <w:b/>
          <w:u w:val="single"/>
        </w:rPr>
      </w:pPr>
    </w:p>
    <w:p w14:paraId="52CE9672" w14:textId="77777777" w:rsidR="007902A5" w:rsidRPr="00FB2277" w:rsidRDefault="007902A5" w:rsidP="007902A5">
      <w:pPr>
        <w:rPr>
          <w:u w:val="single"/>
        </w:rPr>
      </w:pPr>
      <w:r w:rsidRPr="00FB2277">
        <w:rPr>
          <w:b/>
          <w:u w:val="single"/>
        </w:rPr>
        <w:t xml:space="preserve">7. </w:t>
      </w:r>
      <w:r w:rsidRPr="00275642">
        <w:rPr>
          <w:u w:val="single"/>
        </w:rPr>
        <w:t>EC elevated blood pressure management</w:t>
      </w:r>
      <w:r w:rsidRPr="00FB2277">
        <w:rPr>
          <w:u w:val="single"/>
        </w:rPr>
        <w:t>.</w:t>
      </w:r>
    </w:p>
    <w:p w14:paraId="5A6E64DC" w14:textId="77777777" w:rsidR="007902A5" w:rsidRDefault="007902A5" w:rsidP="007902A5">
      <w:pPr>
        <w:rPr>
          <w:rFonts w:ascii="MyriadPro-Cond" w:eastAsia="MyriadPro-Cond" w:cs="MyriadPro-Cond"/>
        </w:rPr>
      </w:pPr>
      <w:r>
        <w:rPr>
          <w:b/>
        </w:rPr>
        <w:t>Domain of Global Reference List:</w:t>
      </w:r>
      <w:r>
        <w:t xml:space="preserve"> Service coverage.</w:t>
      </w:r>
    </w:p>
    <w:p w14:paraId="582036C5" w14:textId="77777777" w:rsidR="007902A5" w:rsidRDefault="007902A5" w:rsidP="007902A5">
      <w:pPr>
        <w:rPr>
          <w:b/>
        </w:rPr>
      </w:pPr>
      <w:r>
        <w:rPr>
          <w:b/>
        </w:rPr>
        <w:t>Rationale:</w:t>
      </w:r>
      <w:r>
        <w:t xml:space="preserve"> It is a tracer indicator. Hypertension is one of the most important risk factors globally and access to blood pressure medication is a marker of access to and the quality of healthcare services among people aged 20 and older.</w:t>
      </w:r>
    </w:p>
    <w:p w14:paraId="66E1FE27" w14:textId="77777777" w:rsidR="007902A5" w:rsidRDefault="007902A5" w:rsidP="007902A5">
      <w:r>
        <w:rPr>
          <w:b/>
        </w:rPr>
        <w:t>Numerator:</w:t>
      </w:r>
      <w:r>
        <w:t xml:space="preserve"> </w:t>
      </w:r>
      <w:r w:rsidRPr="00275642">
        <w:t>number of people receiving treatment with blood pressure less than 140/90</w:t>
      </w:r>
      <w:r>
        <w:t>.</w:t>
      </w:r>
    </w:p>
    <w:p w14:paraId="06E00F2A" w14:textId="77777777" w:rsidR="007902A5" w:rsidRPr="00D75793" w:rsidRDefault="007902A5" w:rsidP="007902A5">
      <w:r>
        <w:rPr>
          <w:b/>
        </w:rPr>
        <w:t xml:space="preserve">Denominator: </w:t>
      </w:r>
      <w:r w:rsidRPr="00275642">
        <w:t>number of people with hypertension (blood pressure ≥140/90) and no treatment + number of people with a diagnosis of hypertension receiving treatment</w:t>
      </w:r>
      <w:r>
        <w:t xml:space="preserve">. </w:t>
      </w:r>
    </w:p>
    <w:p w14:paraId="5CB26E6F" w14:textId="77777777" w:rsidR="007902A5" w:rsidRPr="00037CA3" w:rsidRDefault="007902A5" w:rsidP="007902A5">
      <w:r>
        <w:rPr>
          <w:b/>
        </w:rPr>
        <w:t xml:space="preserve">Case definition: </w:t>
      </w:r>
      <w:r>
        <w:t>Blood pressure measure of 140/90.</w:t>
      </w:r>
    </w:p>
    <w:p w14:paraId="444390A9" w14:textId="77777777" w:rsidR="007902A5" w:rsidRPr="00A67BCB" w:rsidRDefault="007902A5" w:rsidP="007902A5">
      <w:r>
        <w:rPr>
          <w:b/>
        </w:rPr>
        <w:t xml:space="preserve">Method of measurement: </w:t>
      </w:r>
      <w:r>
        <w:t>Household survey microdata (e.g. STEPS, NHANES).</w:t>
      </w:r>
    </w:p>
    <w:p w14:paraId="6F11724B" w14:textId="77777777" w:rsidR="007902A5" w:rsidRDefault="007902A5" w:rsidP="007902A5">
      <w:pPr>
        <w:rPr>
          <w:rFonts w:ascii="MyriadPro-Cond" w:eastAsia="MyriadPro-Cond" w:cs="MyriadPro-Cond"/>
        </w:rPr>
      </w:pPr>
      <w:r>
        <w:rPr>
          <w:b/>
        </w:rPr>
        <w:t>Measurement frequency:</w:t>
      </w:r>
      <w:r>
        <w:t xml:space="preserve"> Annual.</w:t>
      </w:r>
    </w:p>
    <w:p w14:paraId="0B5A8B5B" w14:textId="77777777" w:rsidR="007902A5" w:rsidRDefault="007902A5" w:rsidP="007902A5">
      <w:r>
        <w:rPr>
          <w:b/>
        </w:rPr>
        <w:t>Monitoring and evaluation framework:</w:t>
      </w:r>
      <w:r>
        <w:t xml:space="preserve"> Outcome.</w:t>
      </w:r>
    </w:p>
    <w:p w14:paraId="2BA0C8F3" w14:textId="77777777" w:rsidR="007902A5" w:rsidRDefault="007902A5" w:rsidP="007902A5">
      <w:r>
        <w:rPr>
          <w:b/>
        </w:rPr>
        <w:t>Preferred data sources:</w:t>
      </w:r>
      <w:r>
        <w:t xml:space="preserve"> Household survey microdata (e.g. STEPS, NHANES).</w:t>
      </w:r>
    </w:p>
    <w:p w14:paraId="5249D02B" w14:textId="0F88D2BD" w:rsidR="007902A5" w:rsidRPr="00610D00" w:rsidRDefault="007902A5" w:rsidP="007902A5">
      <w:r>
        <w:rPr>
          <w:b/>
        </w:rPr>
        <w:t xml:space="preserve"> </w:t>
      </w:r>
    </w:p>
    <w:p w14:paraId="74C3DCCE" w14:textId="77777777" w:rsidR="007902A5" w:rsidRDefault="007902A5" w:rsidP="007902A5">
      <w:pPr>
        <w:rPr>
          <w:b/>
        </w:rPr>
      </w:pPr>
    </w:p>
    <w:p w14:paraId="18FACD37" w14:textId="77777777" w:rsidR="007902A5" w:rsidRDefault="007902A5" w:rsidP="007902A5">
      <w:pPr>
        <w:rPr>
          <w:b/>
        </w:rPr>
      </w:pPr>
    </w:p>
    <w:p w14:paraId="689F6C8D" w14:textId="77777777" w:rsidR="007902A5" w:rsidRDefault="007902A5" w:rsidP="007902A5">
      <w:pPr>
        <w:rPr>
          <w:b/>
        </w:rPr>
      </w:pPr>
    </w:p>
    <w:p w14:paraId="4714588E" w14:textId="77777777" w:rsidR="007902A5" w:rsidRDefault="007902A5" w:rsidP="007902A5">
      <w:pPr>
        <w:rPr>
          <w:b/>
        </w:rPr>
      </w:pPr>
    </w:p>
    <w:p w14:paraId="729618AC" w14:textId="77777777" w:rsidR="007902A5" w:rsidRDefault="007902A5" w:rsidP="007902A5">
      <w:pPr>
        <w:rPr>
          <w:b/>
        </w:rPr>
      </w:pPr>
    </w:p>
    <w:p w14:paraId="033D7D91" w14:textId="77777777" w:rsidR="007902A5" w:rsidRDefault="007902A5" w:rsidP="007902A5">
      <w:pPr>
        <w:rPr>
          <w:b/>
        </w:rPr>
      </w:pPr>
    </w:p>
    <w:p w14:paraId="6906D98C" w14:textId="77777777" w:rsidR="007902A5" w:rsidRDefault="007902A5" w:rsidP="007902A5">
      <w:pPr>
        <w:rPr>
          <w:b/>
        </w:rPr>
      </w:pPr>
    </w:p>
    <w:p w14:paraId="46D4C0B4" w14:textId="77777777" w:rsidR="007902A5" w:rsidRDefault="007902A5" w:rsidP="007902A5">
      <w:pPr>
        <w:rPr>
          <w:b/>
        </w:rPr>
      </w:pPr>
    </w:p>
    <w:p w14:paraId="6AF198FF" w14:textId="77777777" w:rsidR="007902A5" w:rsidRDefault="007902A5" w:rsidP="007902A5">
      <w:pPr>
        <w:rPr>
          <w:b/>
        </w:rPr>
      </w:pPr>
    </w:p>
    <w:p w14:paraId="51876626" w14:textId="77777777" w:rsidR="007902A5" w:rsidRDefault="007902A5" w:rsidP="007902A5">
      <w:pPr>
        <w:rPr>
          <w:b/>
        </w:rPr>
      </w:pPr>
    </w:p>
    <w:p w14:paraId="52668EDA" w14:textId="77777777" w:rsidR="007902A5" w:rsidRDefault="007902A5" w:rsidP="007902A5">
      <w:pPr>
        <w:rPr>
          <w:b/>
        </w:rPr>
      </w:pPr>
    </w:p>
    <w:p w14:paraId="18CDBC3C" w14:textId="677750C0" w:rsidR="007902A5" w:rsidRDefault="007902A5" w:rsidP="007902A5">
      <w:pPr>
        <w:rPr>
          <w:b/>
          <w:u w:val="single"/>
        </w:rPr>
      </w:pPr>
    </w:p>
    <w:p w14:paraId="27BB0345" w14:textId="77777777" w:rsidR="007902A5" w:rsidRPr="002B42D9" w:rsidRDefault="007902A5" w:rsidP="007902A5">
      <w:pPr>
        <w:rPr>
          <w:u w:val="single"/>
        </w:rPr>
      </w:pPr>
      <w:r>
        <w:rPr>
          <w:b/>
          <w:u w:val="single"/>
        </w:rPr>
        <w:t xml:space="preserve">8. </w:t>
      </w:r>
      <w:r w:rsidRPr="00275642">
        <w:rPr>
          <w:u w:val="single"/>
        </w:rPr>
        <w:t>EC diabetes: elevated blood glucose management</w:t>
      </w:r>
      <w:r w:rsidRPr="002B42D9">
        <w:rPr>
          <w:u w:val="single"/>
        </w:rPr>
        <w:t>.</w:t>
      </w:r>
    </w:p>
    <w:p w14:paraId="4C792DC1" w14:textId="77777777" w:rsidR="007902A5" w:rsidRDefault="007902A5" w:rsidP="007902A5">
      <w:pPr>
        <w:rPr>
          <w:rFonts w:ascii="MyriadPro-Cond" w:eastAsia="MyriadPro-Cond" w:cs="MyriadPro-Cond"/>
        </w:rPr>
      </w:pPr>
      <w:r>
        <w:rPr>
          <w:b/>
        </w:rPr>
        <w:t>Domain of Global Reference List:</w:t>
      </w:r>
      <w:r>
        <w:t xml:space="preserve"> Service coverage.</w:t>
      </w:r>
    </w:p>
    <w:p w14:paraId="5FDD2E16" w14:textId="77777777" w:rsidR="007902A5" w:rsidRDefault="007902A5" w:rsidP="007902A5">
      <w:pPr>
        <w:rPr>
          <w:b/>
        </w:rPr>
      </w:pPr>
      <w:r>
        <w:rPr>
          <w:b/>
        </w:rPr>
        <w:t>Rationale:</w:t>
      </w:r>
      <w:r>
        <w:t xml:space="preserve"> It is a tracer indicator. High blood sugar is one of the most important risk factors globally and access to blood glucose medication is a marker of healthcare services among people aged 20 and older.</w:t>
      </w:r>
    </w:p>
    <w:p w14:paraId="433DEE30" w14:textId="77777777" w:rsidR="007902A5" w:rsidRDefault="007902A5" w:rsidP="007902A5">
      <w:r>
        <w:rPr>
          <w:b/>
        </w:rPr>
        <w:t>Numerator:</w:t>
      </w:r>
      <w:r>
        <w:t xml:space="preserve"> </w:t>
      </w:r>
      <w:r w:rsidRPr="00275642">
        <w:t>number of people with fasting plasma glucose levels less than 126 mg/dL receiving treatment</w:t>
      </w:r>
    </w:p>
    <w:p w14:paraId="39E78C5E" w14:textId="77777777" w:rsidR="007902A5" w:rsidRPr="00D75793" w:rsidRDefault="007902A5" w:rsidP="007902A5">
      <w:r>
        <w:rPr>
          <w:b/>
        </w:rPr>
        <w:t xml:space="preserve">Denominator: </w:t>
      </w:r>
      <w:r w:rsidRPr="00BE6F6D">
        <w:t>number of people with fasting plasma glucose levels ≥126 mg/dL + number of people with a diagnosis of diabetes and FPG less than 126 mg/dL on treatment</w:t>
      </w:r>
      <w:r>
        <w:t>.</w:t>
      </w:r>
    </w:p>
    <w:p w14:paraId="0300BF54" w14:textId="77777777" w:rsidR="007902A5" w:rsidRPr="008757A0" w:rsidRDefault="007902A5" w:rsidP="007902A5">
      <w:r>
        <w:rPr>
          <w:b/>
        </w:rPr>
        <w:t xml:space="preserve">Case definition: </w:t>
      </w:r>
      <w:r>
        <w:t>Diabetes is defined as a fasting plasma glucose of 126 mg/dL greater, fasting plasma glucose of 7 mmol/L or higher, or a hemoglobin A1c of 6% or greater</w:t>
      </w:r>
      <w:r>
        <w:rPr>
          <w:b/>
        </w:rPr>
        <w:t xml:space="preserve">. </w:t>
      </w:r>
      <w:r>
        <w:t>We define controlled diabetes cases as individuals on diabetes treatment who have a fasting plasma glucose of 154 mg/dL or lower, fasting plasma glucose of 8.6 mmol/L or lower, or a hemoglobin A1c of 7% or lower.</w:t>
      </w:r>
    </w:p>
    <w:p w14:paraId="4EB8B070" w14:textId="77777777" w:rsidR="007902A5" w:rsidRPr="00A67BCB" w:rsidRDefault="007902A5" w:rsidP="007902A5">
      <w:r>
        <w:rPr>
          <w:b/>
        </w:rPr>
        <w:t xml:space="preserve">Method of measurement: </w:t>
      </w:r>
      <w:r>
        <w:t>Individual-level data of fasting plasma glucose measured from surveys.</w:t>
      </w:r>
    </w:p>
    <w:p w14:paraId="1E559800" w14:textId="77777777" w:rsidR="007902A5" w:rsidRDefault="007902A5" w:rsidP="007902A5">
      <w:pPr>
        <w:rPr>
          <w:rFonts w:ascii="MyriadPro-Cond" w:eastAsia="MyriadPro-Cond" w:cs="MyriadPro-Cond"/>
        </w:rPr>
      </w:pPr>
      <w:r>
        <w:rPr>
          <w:b/>
        </w:rPr>
        <w:t>Measurement frequency:</w:t>
      </w:r>
      <w:r>
        <w:t xml:space="preserve"> Annual.</w:t>
      </w:r>
    </w:p>
    <w:p w14:paraId="54B50447" w14:textId="77777777" w:rsidR="007902A5" w:rsidRDefault="007902A5" w:rsidP="007902A5">
      <w:r>
        <w:rPr>
          <w:b/>
        </w:rPr>
        <w:t>Monitoring and evaluation framework:</w:t>
      </w:r>
      <w:r>
        <w:t xml:space="preserve"> Outcome.</w:t>
      </w:r>
    </w:p>
    <w:p w14:paraId="3F71EE30" w14:textId="77777777" w:rsidR="007902A5" w:rsidRPr="00A67BCB" w:rsidRDefault="007902A5" w:rsidP="007902A5">
      <w:r>
        <w:rPr>
          <w:b/>
        </w:rPr>
        <w:t>Preferred data sources:</w:t>
      </w:r>
      <w:r>
        <w:t xml:space="preserve"> Individual-level data of fasting plasma glucose measured from surveys.</w:t>
      </w:r>
    </w:p>
    <w:p w14:paraId="10CB6B7A" w14:textId="77777777" w:rsidR="007902A5" w:rsidRPr="00610D00" w:rsidRDefault="007902A5" w:rsidP="007902A5">
      <w:r w:rsidRPr="008A4643">
        <w:rPr>
          <w:b/>
        </w:rPr>
        <w:t>Limitations</w:t>
      </w:r>
      <w:r>
        <w:rPr>
          <w:b/>
        </w:rPr>
        <w:t xml:space="preserve">: </w:t>
      </w:r>
    </w:p>
    <w:p w14:paraId="66E6D819" w14:textId="77777777" w:rsidR="007902A5" w:rsidRPr="00610D00" w:rsidRDefault="007902A5" w:rsidP="007902A5"/>
    <w:p w14:paraId="40FD1A70" w14:textId="77777777" w:rsidR="007902A5" w:rsidRDefault="007902A5" w:rsidP="007902A5">
      <w:pPr>
        <w:rPr>
          <w:b/>
        </w:rPr>
      </w:pPr>
    </w:p>
    <w:p w14:paraId="1AB726BF" w14:textId="77777777" w:rsidR="00743774" w:rsidRDefault="00743774" w:rsidP="00743774">
      <w:pPr>
        <w:rPr>
          <w:b/>
          <w:sz w:val="24"/>
          <w:u w:val="single"/>
        </w:rPr>
      </w:pPr>
    </w:p>
    <w:p w14:paraId="7F5633AA" w14:textId="77777777" w:rsidR="00743774" w:rsidRDefault="00743774" w:rsidP="00743774">
      <w:pPr>
        <w:rPr>
          <w:b/>
          <w:sz w:val="24"/>
          <w:u w:val="single"/>
        </w:rPr>
      </w:pPr>
    </w:p>
    <w:p w14:paraId="29090F7F" w14:textId="77777777" w:rsidR="00743774" w:rsidRDefault="00743774" w:rsidP="00743774">
      <w:pPr>
        <w:rPr>
          <w:b/>
          <w:sz w:val="24"/>
          <w:u w:val="single"/>
        </w:rPr>
      </w:pPr>
    </w:p>
    <w:p w14:paraId="5BA45606" w14:textId="77777777" w:rsidR="00743774" w:rsidRDefault="00743774" w:rsidP="00743774">
      <w:pPr>
        <w:rPr>
          <w:b/>
          <w:sz w:val="24"/>
          <w:u w:val="single"/>
        </w:rPr>
      </w:pPr>
    </w:p>
    <w:p w14:paraId="4A850AAE" w14:textId="77777777" w:rsidR="00743774" w:rsidRDefault="00743774" w:rsidP="00743774">
      <w:pPr>
        <w:rPr>
          <w:b/>
          <w:sz w:val="24"/>
          <w:u w:val="single"/>
        </w:rPr>
      </w:pPr>
    </w:p>
    <w:p w14:paraId="6CF7A1A1" w14:textId="77777777" w:rsidR="00743774" w:rsidRDefault="00743774" w:rsidP="00743774">
      <w:pPr>
        <w:rPr>
          <w:b/>
          <w:sz w:val="24"/>
          <w:u w:val="single"/>
        </w:rPr>
      </w:pPr>
    </w:p>
    <w:p w14:paraId="0FDE2AC0" w14:textId="77777777" w:rsidR="00450F4F" w:rsidRDefault="00450F4F" w:rsidP="00743774">
      <w:pPr>
        <w:rPr>
          <w:b/>
          <w:u w:val="single"/>
        </w:rPr>
      </w:pPr>
    </w:p>
    <w:p w14:paraId="74AF6DA8" w14:textId="77777777" w:rsidR="00450F4F" w:rsidRDefault="00450F4F" w:rsidP="00743774">
      <w:pPr>
        <w:rPr>
          <w:b/>
          <w:u w:val="single"/>
        </w:rPr>
      </w:pPr>
    </w:p>
    <w:p w14:paraId="456CCCB0" w14:textId="591AD021" w:rsidR="00743774" w:rsidRPr="00F32DF0" w:rsidRDefault="00743774" w:rsidP="00743774">
      <w:pPr>
        <w:rPr>
          <w:b/>
          <w:sz w:val="24"/>
          <w:u w:val="single"/>
        </w:rPr>
      </w:pPr>
      <w:r w:rsidRPr="00743774">
        <w:rPr>
          <w:b/>
          <w:u w:val="single"/>
        </w:rPr>
        <w:t xml:space="preserve">9. </w:t>
      </w:r>
      <w:r w:rsidRPr="00743774">
        <w:rPr>
          <w:bCs/>
          <w:u w:val="single"/>
        </w:rPr>
        <w:t>EC antenatal care</w:t>
      </w:r>
    </w:p>
    <w:p w14:paraId="79F545AA" w14:textId="77777777" w:rsidR="00743774" w:rsidRDefault="00743774" w:rsidP="00743774">
      <w:r>
        <w:rPr>
          <w:b/>
        </w:rPr>
        <w:t>Domain of global reference list:</w:t>
      </w:r>
      <w:r>
        <w:t xml:space="preserve"> Service Coverage. </w:t>
      </w:r>
    </w:p>
    <w:p w14:paraId="517E80C5" w14:textId="77777777" w:rsidR="00743774" w:rsidRDefault="00743774" w:rsidP="00743774">
      <w:pPr>
        <w:rPr>
          <w:rFonts w:ascii="MyriadPro-Cond" w:eastAsia="MyriadPro-Cond" w:cs="MyriadPro-Cond"/>
        </w:rPr>
      </w:pPr>
      <w:r w:rsidRPr="00DE410D">
        <w:rPr>
          <w:b/>
          <w:bCs/>
        </w:rPr>
        <w:t>Proxy:</w:t>
      </w:r>
      <w:r>
        <w:t xml:space="preserve"> </w:t>
      </w:r>
      <w:r w:rsidRPr="00F32DF0">
        <w:t>proxied using antenatal care measured with quality</w:t>
      </w:r>
    </w:p>
    <w:p w14:paraId="7D1EE2B3" w14:textId="77777777" w:rsidR="00743774" w:rsidRDefault="00743774" w:rsidP="00743774">
      <w:pPr>
        <w:rPr>
          <w:b/>
        </w:rPr>
      </w:pPr>
      <w:r>
        <w:rPr>
          <w:b/>
        </w:rPr>
        <w:t>Rationale:</w:t>
      </w:r>
      <w:r>
        <w:t xml:space="preserve"> It is a tracer indicator. </w:t>
      </w:r>
    </w:p>
    <w:p w14:paraId="24EBE4C4" w14:textId="77777777" w:rsidR="00743774" w:rsidRDefault="00743774" w:rsidP="00743774">
      <w:r>
        <w:rPr>
          <w:b/>
        </w:rPr>
        <w:t>Numerator:</w:t>
      </w:r>
      <w:r>
        <w:t xml:space="preserve"> </w:t>
      </w:r>
      <w:r w:rsidRPr="00F32DF0">
        <w:t>number of women aged 15−49 years with a live birth in a given time period who received antenatal care four or more times and had blood pressure measured and blood drawn during at least one antenatal care visit</w:t>
      </w:r>
      <w:r>
        <w:t>.</w:t>
      </w:r>
    </w:p>
    <w:p w14:paraId="08B3F0B9" w14:textId="77777777" w:rsidR="00743774" w:rsidRDefault="00743774" w:rsidP="00743774">
      <w:r>
        <w:rPr>
          <w:b/>
        </w:rPr>
        <w:t xml:space="preserve">Denominator: </w:t>
      </w:r>
      <w:r w:rsidRPr="00F32DF0">
        <w:t>total number of women aged 15−49 years with a live birth in the same period</w:t>
      </w:r>
      <w:r>
        <w:t xml:space="preserve">. </w:t>
      </w:r>
    </w:p>
    <w:p w14:paraId="7A26A18D" w14:textId="77777777" w:rsidR="00743774" w:rsidRDefault="00743774" w:rsidP="00743774">
      <w:pPr>
        <w:rPr>
          <w:b/>
        </w:rPr>
      </w:pPr>
      <w:r>
        <w:rPr>
          <w:b/>
        </w:rPr>
        <w:t xml:space="preserve">Case definition:  </w:t>
      </w:r>
    </w:p>
    <w:p w14:paraId="37108ED7" w14:textId="77777777" w:rsidR="00743774" w:rsidRPr="00ED1391" w:rsidRDefault="00743774" w:rsidP="00743774">
      <w:r>
        <w:rPr>
          <w:b/>
        </w:rPr>
        <w:t xml:space="preserve">Method of measurement: </w:t>
      </w:r>
    </w:p>
    <w:p w14:paraId="1144A83F" w14:textId="77777777" w:rsidR="00743774" w:rsidRDefault="00743774" w:rsidP="00743774">
      <w:pPr>
        <w:rPr>
          <w:rFonts w:ascii="MyriadPro-Cond" w:eastAsia="MyriadPro-Cond" w:cs="MyriadPro-Cond"/>
        </w:rPr>
      </w:pPr>
      <w:r>
        <w:rPr>
          <w:b/>
        </w:rPr>
        <w:t>Measurement frequency:</w:t>
      </w:r>
      <w:r>
        <w:t xml:space="preserve"> as reported by the countries </w:t>
      </w:r>
    </w:p>
    <w:p w14:paraId="11F74012" w14:textId="77777777" w:rsidR="00743774" w:rsidRDefault="00743774" w:rsidP="00743774">
      <w:r>
        <w:rPr>
          <w:b/>
        </w:rPr>
        <w:t>Monitoring and evaluation framework:</w:t>
      </w:r>
      <w:r>
        <w:t xml:space="preserve"> Outcome.</w:t>
      </w:r>
    </w:p>
    <w:p w14:paraId="5561BB71" w14:textId="77777777" w:rsidR="00743774" w:rsidRDefault="00743774" w:rsidP="00743774">
      <w:pPr>
        <w:rPr>
          <w:rFonts w:ascii="MyriadPro-Cond" w:eastAsia="MyriadPro-Cond" w:cs="MyriadPro-Cond"/>
        </w:rPr>
      </w:pPr>
      <w:r>
        <w:rPr>
          <w:b/>
        </w:rPr>
        <w:t>Preferred data sources:</w:t>
      </w:r>
      <w:r w:rsidRPr="00DE410D">
        <w:t xml:space="preserve"> </w:t>
      </w:r>
      <w:r>
        <w:t xml:space="preserve">population-based surveys, administrative records data </w:t>
      </w:r>
    </w:p>
    <w:p w14:paraId="23079A49" w14:textId="77777777" w:rsidR="007902A5" w:rsidRDefault="007902A5" w:rsidP="007902A5">
      <w:pPr>
        <w:rPr>
          <w:b/>
        </w:rPr>
      </w:pPr>
    </w:p>
    <w:p w14:paraId="75B6B9F5" w14:textId="77777777" w:rsidR="007902A5" w:rsidRDefault="007902A5" w:rsidP="007902A5">
      <w:pPr>
        <w:rPr>
          <w:b/>
        </w:rPr>
      </w:pPr>
    </w:p>
    <w:p w14:paraId="7E08EB3B" w14:textId="77777777" w:rsidR="007902A5" w:rsidRDefault="007902A5" w:rsidP="007902A5">
      <w:pPr>
        <w:rPr>
          <w:b/>
        </w:rPr>
      </w:pPr>
    </w:p>
    <w:p w14:paraId="373520C2" w14:textId="77777777" w:rsidR="007902A5" w:rsidRDefault="007902A5" w:rsidP="007902A5">
      <w:pPr>
        <w:rPr>
          <w:b/>
        </w:rPr>
      </w:pPr>
    </w:p>
    <w:p w14:paraId="0C3682BA" w14:textId="77777777" w:rsidR="007902A5" w:rsidRDefault="007902A5" w:rsidP="007902A5">
      <w:pPr>
        <w:rPr>
          <w:b/>
        </w:rPr>
      </w:pPr>
    </w:p>
    <w:p w14:paraId="73009752" w14:textId="77777777" w:rsidR="00743774" w:rsidRDefault="00743774" w:rsidP="007902A5">
      <w:pPr>
        <w:rPr>
          <w:b/>
        </w:rPr>
      </w:pPr>
    </w:p>
    <w:p w14:paraId="78BA0BF6" w14:textId="77777777" w:rsidR="00743774" w:rsidRDefault="00743774" w:rsidP="007902A5">
      <w:pPr>
        <w:rPr>
          <w:b/>
        </w:rPr>
      </w:pPr>
    </w:p>
    <w:p w14:paraId="1469E138" w14:textId="77777777" w:rsidR="00743774" w:rsidRDefault="00743774" w:rsidP="007902A5">
      <w:pPr>
        <w:rPr>
          <w:b/>
        </w:rPr>
      </w:pPr>
    </w:p>
    <w:p w14:paraId="3CF1D6C5" w14:textId="77777777" w:rsidR="00743774" w:rsidRDefault="00743774" w:rsidP="007902A5">
      <w:pPr>
        <w:rPr>
          <w:b/>
        </w:rPr>
      </w:pPr>
    </w:p>
    <w:p w14:paraId="24C90A9A" w14:textId="77777777" w:rsidR="00743774" w:rsidRDefault="00743774" w:rsidP="007902A5">
      <w:pPr>
        <w:rPr>
          <w:b/>
        </w:rPr>
      </w:pPr>
    </w:p>
    <w:p w14:paraId="4FA870EA" w14:textId="77777777" w:rsidR="00743774" w:rsidRDefault="00743774" w:rsidP="007902A5">
      <w:pPr>
        <w:rPr>
          <w:b/>
        </w:rPr>
      </w:pPr>
    </w:p>
    <w:p w14:paraId="2241E1A7" w14:textId="77777777" w:rsidR="007902A5" w:rsidRDefault="007902A5" w:rsidP="007902A5">
      <w:pPr>
        <w:rPr>
          <w:b/>
        </w:rPr>
      </w:pPr>
    </w:p>
    <w:p w14:paraId="12EFB1C3" w14:textId="77777777" w:rsidR="007F6EAE" w:rsidRDefault="007F6EAE" w:rsidP="007902A5">
      <w:pPr>
        <w:rPr>
          <w:b/>
          <w:i/>
          <w:iCs/>
          <w:color w:val="C00000"/>
          <w:sz w:val="24"/>
          <w:szCs w:val="24"/>
          <w:u w:val="single"/>
        </w:rPr>
      </w:pPr>
    </w:p>
    <w:p w14:paraId="37A6A2EF" w14:textId="109DDB38" w:rsidR="007902A5" w:rsidRPr="00CE2032" w:rsidRDefault="007902A5" w:rsidP="007902A5">
      <w:pPr>
        <w:rPr>
          <w:b/>
          <w:i/>
          <w:iCs/>
          <w:color w:val="C00000"/>
          <w:sz w:val="24"/>
          <w:szCs w:val="24"/>
          <w:u w:val="single"/>
        </w:rPr>
      </w:pPr>
      <w:r w:rsidRPr="00CE2032">
        <w:rPr>
          <w:b/>
          <w:i/>
          <w:iCs/>
          <w:color w:val="C00000"/>
          <w:sz w:val="24"/>
          <w:szCs w:val="24"/>
          <w:u w:val="single"/>
        </w:rPr>
        <w:t>Treatment of communicable, maternal, perinatal, and nutritional diseases</w:t>
      </w:r>
    </w:p>
    <w:p w14:paraId="0EC58531" w14:textId="77777777" w:rsidR="007902A5" w:rsidRPr="00FB2277" w:rsidRDefault="007902A5" w:rsidP="007902A5">
      <w:pPr>
        <w:rPr>
          <w:bCs/>
          <w:u w:val="single"/>
        </w:rPr>
      </w:pPr>
      <w:r>
        <w:rPr>
          <w:b/>
          <w:u w:val="single"/>
        </w:rPr>
        <w:t xml:space="preserve">10. </w:t>
      </w:r>
      <w:r w:rsidRPr="009B224A">
        <w:rPr>
          <w:bCs/>
          <w:u w:val="single"/>
        </w:rPr>
        <w:t>EC ma</w:t>
      </w:r>
      <w:r>
        <w:rPr>
          <w:bCs/>
          <w:u w:val="single"/>
        </w:rPr>
        <w:t>nagement of labour and delivery.</w:t>
      </w:r>
    </w:p>
    <w:p w14:paraId="4A935E86" w14:textId="77777777" w:rsidR="007902A5" w:rsidRDefault="007902A5" w:rsidP="007902A5">
      <w:pPr>
        <w:rPr>
          <w:rFonts w:ascii="MyriadPro-Cond" w:eastAsia="MyriadPro-Cond" w:cs="MyriadPro-Cond"/>
        </w:rPr>
      </w:pPr>
      <w:r>
        <w:rPr>
          <w:b/>
        </w:rPr>
        <w:t>Domain of Global Reference List:</w:t>
      </w:r>
      <w:r>
        <w:t xml:space="preserve"> Service coverage.</w:t>
      </w:r>
    </w:p>
    <w:p w14:paraId="129E1D97" w14:textId="77777777" w:rsidR="007902A5" w:rsidRDefault="007902A5" w:rsidP="007902A5">
      <w:pPr>
        <w:rPr>
          <w:b/>
        </w:rPr>
      </w:pPr>
      <w:r>
        <w:rPr>
          <w:b/>
        </w:rPr>
        <w:t>Rationale:</w:t>
      </w:r>
      <w:r>
        <w:t xml:space="preserve"> It is a tracer indicator. It is an important marker of the availability of maternal and child health services.</w:t>
      </w:r>
    </w:p>
    <w:p w14:paraId="56E1D457" w14:textId="77777777" w:rsidR="007902A5" w:rsidRDefault="007902A5" w:rsidP="007902A5">
      <w:r>
        <w:rPr>
          <w:b/>
        </w:rPr>
        <w:t>Numerator:</w:t>
      </w:r>
      <w:r>
        <w:t xml:space="preserve"> </w:t>
      </w:r>
      <w:r w:rsidRPr="009B224A">
        <w:t>number of women aged 15–49 years with a live birth   attended by a skilled health personnel (doctors, nurses or midwives) during delivery</w:t>
      </w:r>
      <w:r>
        <w:t>.</w:t>
      </w:r>
    </w:p>
    <w:p w14:paraId="309BE712" w14:textId="77777777" w:rsidR="007902A5" w:rsidRPr="007169CA" w:rsidRDefault="007902A5" w:rsidP="007902A5">
      <w:r>
        <w:rPr>
          <w:b/>
        </w:rPr>
        <w:t xml:space="preserve">Denominator: </w:t>
      </w:r>
      <w:r w:rsidRPr="009B224A">
        <w:t>number of live births among women aged 15–49 years in the same period</w:t>
      </w:r>
      <w:r>
        <w:t>.</w:t>
      </w:r>
    </w:p>
    <w:p w14:paraId="67FC72BB" w14:textId="77777777" w:rsidR="007902A5" w:rsidRDefault="007902A5" w:rsidP="007902A5">
      <w:pPr>
        <w:rPr>
          <w:b/>
        </w:rPr>
      </w:pPr>
      <w:r>
        <w:rPr>
          <w:b/>
        </w:rPr>
        <w:t>Case definition: L</w:t>
      </w:r>
      <w:r w:rsidRPr="007169CA">
        <w:t>ive birth</w:t>
      </w:r>
      <w:r>
        <w:t xml:space="preserve"> attended by at least one skilled health professional</w:t>
      </w:r>
      <w:r w:rsidRPr="007169CA">
        <w:t xml:space="preserve"> (doctor, nurse</w:t>
      </w:r>
      <w:r>
        <w:t>, or midwif</w:t>
      </w:r>
      <w:r w:rsidRPr="007169CA">
        <w:t>e) during delivery</w:t>
      </w:r>
      <w:r>
        <w:t>.</w:t>
      </w:r>
    </w:p>
    <w:p w14:paraId="5ACA5DED" w14:textId="5A2BD958" w:rsidR="007902A5" w:rsidRDefault="007902A5" w:rsidP="007902A5">
      <w:r>
        <w:rPr>
          <w:b/>
        </w:rPr>
        <w:t xml:space="preserve">Method of measurement: </w:t>
      </w:r>
      <w:r>
        <w:t>Survey data which provided individual-level data, and specifically among female respondents, were identified and extracted. Major multi-country survey programs included in the analysis include the Demographic and Health Surveys (DHS), Multiple Indicator Cluster Surveys (MICS), Reproductive Health 36 Surveys (RHS), Living Standards Measurement Study (LSMS) surveys, and World Health Surveys (WHS). We also conducted a comprehensive search of the Global Health Data Exchange (GHDx), as well as targeted internet searches and review of Ministry of Health websites, to identify national surveys and other multi-country survey programs. In addition, we utilized tabulated report data from regional WHO databases, when available, including the PAHO, WHO WPR, and the WHO European Health for All databases.</w:t>
      </w:r>
      <w:r w:rsidR="00605DD9">
        <w:t xml:space="preserve"> </w:t>
      </w:r>
      <w:r w:rsidR="00605DD9" w:rsidRPr="00605DD9">
        <w:t>CRINGE/CRAVE UNICEF data collection mechanism</w:t>
      </w:r>
    </w:p>
    <w:p w14:paraId="20823FD1" w14:textId="77777777" w:rsidR="007902A5" w:rsidRDefault="007902A5" w:rsidP="007902A5">
      <w:pPr>
        <w:rPr>
          <w:rFonts w:ascii="MyriadPro-Cond" w:eastAsia="MyriadPro-Cond" w:cs="MyriadPro-Cond"/>
        </w:rPr>
      </w:pPr>
      <w:r>
        <w:rPr>
          <w:b/>
        </w:rPr>
        <w:t>Measurement frequency:</w:t>
      </w:r>
      <w:r>
        <w:t xml:space="preserve"> Annual.</w:t>
      </w:r>
    </w:p>
    <w:p w14:paraId="3FD6EBEC" w14:textId="77777777" w:rsidR="007902A5" w:rsidRDefault="007902A5" w:rsidP="007902A5">
      <w:r>
        <w:rPr>
          <w:b/>
        </w:rPr>
        <w:t>Monitoring and evaluation framework:</w:t>
      </w:r>
      <w:r>
        <w:t xml:space="preserve"> Outcome.</w:t>
      </w:r>
    </w:p>
    <w:p w14:paraId="3325A303" w14:textId="77777777" w:rsidR="007902A5" w:rsidRDefault="007902A5" w:rsidP="007902A5">
      <w:pPr>
        <w:rPr>
          <w:rFonts w:ascii="MyriadPro-Cond" w:eastAsia="MyriadPro-Cond" w:cs="MyriadPro-Cond"/>
        </w:rPr>
      </w:pPr>
      <w:r>
        <w:rPr>
          <w:b/>
        </w:rPr>
        <w:t>Preferred data sources:</w:t>
      </w:r>
      <w:r>
        <w:t xml:space="preserve"> Individual-level data from nationally representative, major multi-country survey programs (such as DHS, MICS, RHS, LSMS, and WHS).</w:t>
      </w:r>
    </w:p>
    <w:p w14:paraId="76D7F724" w14:textId="10834515" w:rsidR="007902A5" w:rsidRDefault="007902A5" w:rsidP="007902A5">
      <w:pPr>
        <w:rPr>
          <w:b/>
        </w:rPr>
      </w:pPr>
    </w:p>
    <w:p w14:paraId="16FDF5CC" w14:textId="77777777" w:rsidR="007F6EAE" w:rsidRDefault="007F6EAE" w:rsidP="007902A5">
      <w:pPr>
        <w:rPr>
          <w:b/>
        </w:rPr>
      </w:pPr>
    </w:p>
    <w:p w14:paraId="56310621" w14:textId="77777777" w:rsidR="007902A5" w:rsidRDefault="007902A5" w:rsidP="007902A5">
      <w:pPr>
        <w:rPr>
          <w:b/>
        </w:rPr>
      </w:pPr>
    </w:p>
    <w:p w14:paraId="31C5091D" w14:textId="77777777" w:rsidR="007902A5" w:rsidRDefault="007902A5" w:rsidP="007902A5">
      <w:pPr>
        <w:rPr>
          <w:b/>
        </w:rPr>
      </w:pPr>
    </w:p>
    <w:p w14:paraId="6EFB714D" w14:textId="77777777" w:rsidR="007902A5" w:rsidRDefault="007902A5" w:rsidP="007902A5">
      <w:pPr>
        <w:rPr>
          <w:b/>
        </w:rPr>
      </w:pPr>
    </w:p>
    <w:p w14:paraId="3F369A06" w14:textId="77777777" w:rsidR="007902A5" w:rsidRDefault="007902A5" w:rsidP="007902A5">
      <w:pPr>
        <w:rPr>
          <w:b/>
        </w:rPr>
      </w:pPr>
    </w:p>
    <w:p w14:paraId="6D4FBB7A" w14:textId="15C31108" w:rsidR="007902A5" w:rsidRDefault="007902A5" w:rsidP="007902A5">
      <w:pPr>
        <w:rPr>
          <w:b/>
        </w:rPr>
      </w:pPr>
    </w:p>
    <w:p w14:paraId="26D8246B" w14:textId="77777777" w:rsidR="007902A5" w:rsidRPr="00FB2277" w:rsidRDefault="007902A5" w:rsidP="007902A5">
      <w:pPr>
        <w:rPr>
          <w:u w:val="single"/>
        </w:rPr>
      </w:pPr>
      <w:r w:rsidRPr="00FB2277">
        <w:rPr>
          <w:b/>
          <w:u w:val="single"/>
        </w:rPr>
        <w:t xml:space="preserve">11. </w:t>
      </w:r>
      <w:r w:rsidRPr="009B224A">
        <w:rPr>
          <w:u w:val="single"/>
        </w:rPr>
        <w:t>EC antenatal, peripartum and postnatal care for the newborn</w:t>
      </w:r>
      <w:r w:rsidRPr="00FB2277">
        <w:rPr>
          <w:u w:val="single"/>
        </w:rPr>
        <w:t>.</w:t>
      </w:r>
    </w:p>
    <w:p w14:paraId="4CF9E254" w14:textId="77777777" w:rsidR="007902A5" w:rsidRDefault="007902A5" w:rsidP="007902A5">
      <w:pPr>
        <w:rPr>
          <w:rFonts w:ascii="MyriadPro-Cond" w:eastAsia="MyriadPro-Cond" w:cs="MyriadPro-Cond"/>
        </w:rPr>
      </w:pPr>
      <w:r>
        <w:rPr>
          <w:b/>
        </w:rPr>
        <w:t>Domain of Global Reference List:</w:t>
      </w:r>
      <w:r>
        <w:t xml:space="preserve"> Service coverage.</w:t>
      </w:r>
    </w:p>
    <w:p w14:paraId="296C98F8" w14:textId="77777777" w:rsidR="007902A5" w:rsidRDefault="007902A5" w:rsidP="007902A5">
      <w:pPr>
        <w:rPr>
          <w:b/>
        </w:rPr>
      </w:pPr>
      <w:r>
        <w:rPr>
          <w:b/>
        </w:rPr>
        <w:t>Rationale:</w:t>
      </w:r>
      <w:r>
        <w:t xml:space="preserve"> It is a tracer indicator. The early neonatal mortality rate is an important indicator of access to and quality of newborn heath care as many of the major causes of death among neonates (e.g. pneumonia, diarrhoea) are highly amenable to treatment.</w:t>
      </w:r>
    </w:p>
    <w:p w14:paraId="46351D83" w14:textId="77777777" w:rsidR="007902A5" w:rsidRDefault="007902A5" w:rsidP="007902A5">
      <w:r>
        <w:rPr>
          <w:b/>
        </w:rPr>
        <w:t>Numerator:</w:t>
      </w:r>
      <w:r>
        <w:t xml:space="preserve"> </w:t>
      </w:r>
      <w:r w:rsidRPr="009B224A">
        <w:t>number of deaths in children less than seven days of life</w:t>
      </w:r>
      <w:r>
        <w:t>.</w:t>
      </w:r>
    </w:p>
    <w:p w14:paraId="7EBA0600" w14:textId="77777777" w:rsidR="007902A5" w:rsidRPr="00885A56" w:rsidRDefault="007902A5" w:rsidP="007902A5">
      <w:r>
        <w:rPr>
          <w:b/>
        </w:rPr>
        <w:t xml:space="preserve">Denominator: </w:t>
      </w:r>
      <w:r w:rsidRPr="009B224A">
        <w:t>number of live birth</w:t>
      </w:r>
      <w:r>
        <w:t>.</w:t>
      </w:r>
    </w:p>
    <w:p w14:paraId="41851EEB" w14:textId="77777777" w:rsidR="007902A5" w:rsidRPr="003C0680" w:rsidRDefault="007902A5" w:rsidP="007902A5">
      <w:r>
        <w:rPr>
          <w:b/>
        </w:rPr>
        <w:t xml:space="preserve">Case definition: </w:t>
      </w:r>
      <w:r>
        <w:t>Death before the seventh day of life.</w:t>
      </w:r>
    </w:p>
    <w:p w14:paraId="2AFFED05" w14:textId="77777777" w:rsidR="007902A5" w:rsidRDefault="007902A5" w:rsidP="007902A5">
      <w:r w:rsidRPr="00032A21">
        <w:rPr>
          <w:b/>
        </w:rPr>
        <w:t>Method of measurement:</w:t>
      </w:r>
      <w:r w:rsidRPr="00032A21">
        <w:t xml:space="preserve"> </w:t>
      </w:r>
      <w:r>
        <w:t xml:space="preserve">We used three primary source types for early neonatal mortality: (1) the number of deaths reported through vital registration (VR) systems; (2) we also approach the number of deaths using complete birth histories (CBH); and (3) summary birth histories (SBH). </w:t>
      </w:r>
    </w:p>
    <w:p w14:paraId="3734B5E1" w14:textId="77777777" w:rsidR="007902A5" w:rsidRDefault="007902A5" w:rsidP="007902A5">
      <w:pPr>
        <w:rPr>
          <w:rFonts w:ascii="MyriadPro-Cond" w:eastAsia="MyriadPro-Cond" w:cs="MyriadPro-Cond"/>
        </w:rPr>
      </w:pPr>
      <w:r>
        <w:rPr>
          <w:b/>
        </w:rPr>
        <w:t>Measurement frequency:</w:t>
      </w:r>
      <w:r>
        <w:t xml:space="preserve"> Annual.</w:t>
      </w:r>
    </w:p>
    <w:p w14:paraId="7C324324" w14:textId="77777777" w:rsidR="007902A5" w:rsidRDefault="007902A5" w:rsidP="007902A5">
      <w:r>
        <w:rPr>
          <w:b/>
        </w:rPr>
        <w:t>Monitoring and evaluation framework:</w:t>
      </w:r>
      <w:r>
        <w:t xml:space="preserve"> Outcome.</w:t>
      </w:r>
    </w:p>
    <w:p w14:paraId="2F46A414" w14:textId="2DAC6B21" w:rsidR="007902A5" w:rsidRPr="00032A21" w:rsidRDefault="007902A5" w:rsidP="007902A5">
      <w:r>
        <w:rPr>
          <w:b/>
        </w:rPr>
        <w:t>Preferred data sources:</w:t>
      </w:r>
      <w:r>
        <w:t xml:space="preserve"> For estimating deaths, high-quality vital registration data is ideal. For estimating live births, accurate and complete registration data of live births by age of the mother are typically regarded as the gold standard source of information.</w:t>
      </w:r>
      <w:r w:rsidR="00605DD9">
        <w:t xml:space="preserve"> </w:t>
      </w:r>
      <w:r w:rsidR="00605DD9" w:rsidRPr="00605DD9">
        <w:t>CRVS, Censuses, WPP, Household surveys (DHS, MICs, National)</w:t>
      </w:r>
      <w:r w:rsidR="00605DD9">
        <w:t>.</w:t>
      </w:r>
    </w:p>
    <w:p w14:paraId="4411719A" w14:textId="77777777" w:rsidR="007902A5" w:rsidRPr="00610D00" w:rsidRDefault="007902A5" w:rsidP="007902A5">
      <w:r w:rsidRPr="008A4643">
        <w:rPr>
          <w:b/>
        </w:rPr>
        <w:t>Limitations</w:t>
      </w:r>
      <w:r>
        <w:rPr>
          <w:b/>
        </w:rPr>
        <w:t xml:space="preserve">: </w:t>
      </w:r>
    </w:p>
    <w:p w14:paraId="6C3FEEB8" w14:textId="77777777" w:rsidR="007902A5" w:rsidRPr="00610D00" w:rsidRDefault="007902A5" w:rsidP="007902A5"/>
    <w:p w14:paraId="6BB5F783" w14:textId="77777777" w:rsidR="007902A5" w:rsidRDefault="007902A5" w:rsidP="007902A5">
      <w:pPr>
        <w:rPr>
          <w:b/>
        </w:rPr>
      </w:pPr>
    </w:p>
    <w:p w14:paraId="3EE5415E" w14:textId="77777777" w:rsidR="007902A5" w:rsidRDefault="007902A5" w:rsidP="007902A5">
      <w:pPr>
        <w:rPr>
          <w:b/>
        </w:rPr>
      </w:pPr>
    </w:p>
    <w:p w14:paraId="7C0998D3" w14:textId="77777777" w:rsidR="007902A5" w:rsidRDefault="007902A5" w:rsidP="007902A5">
      <w:pPr>
        <w:rPr>
          <w:b/>
        </w:rPr>
      </w:pPr>
    </w:p>
    <w:p w14:paraId="1738C327" w14:textId="77777777" w:rsidR="007902A5" w:rsidRDefault="007902A5" w:rsidP="007902A5">
      <w:pPr>
        <w:rPr>
          <w:b/>
        </w:rPr>
      </w:pPr>
    </w:p>
    <w:p w14:paraId="77A3633D" w14:textId="77777777" w:rsidR="007902A5" w:rsidRDefault="007902A5" w:rsidP="007902A5">
      <w:pPr>
        <w:rPr>
          <w:b/>
        </w:rPr>
      </w:pPr>
    </w:p>
    <w:p w14:paraId="52232494" w14:textId="77777777" w:rsidR="007902A5" w:rsidRDefault="007902A5" w:rsidP="007902A5">
      <w:pPr>
        <w:rPr>
          <w:b/>
        </w:rPr>
      </w:pPr>
    </w:p>
    <w:p w14:paraId="293F20B4" w14:textId="77777777" w:rsidR="007902A5" w:rsidRDefault="007902A5" w:rsidP="007902A5">
      <w:pPr>
        <w:rPr>
          <w:b/>
        </w:rPr>
      </w:pPr>
    </w:p>
    <w:p w14:paraId="0C0098FA" w14:textId="77777777" w:rsidR="00743774" w:rsidRDefault="00743774" w:rsidP="007902A5">
      <w:pPr>
        <w:rPr>
          <w:b/>
        </w:rPr>
      </w:pPr>
    </w:p>
    <w:p w14:paraId="75D6522F" w14:textId="77777777" w:rsidR="007902A5" w:rsidRDefault="007902A5" w:rsidP="007902A5">
      <w:pPr>
        <w:rPr>
          <w:b/>
        </w:rPr>
      </w:pPr>
    </w:p>
    <w:p w14:paraId="4CED0C43" w14:textId="77777777" w:rsidR="007902A5" w:rsidRPr="00CB795A" w:rsidRDefault="007902A5" w:rsidP="007902A5">
      <w:pPr>
        <w:rPr>
          <w:u w:val="single"/>
        </w:rPr>
      </w:pPr>
      <w:r w:rsidRPr="00CB795A">
        <w:rPr>
          <w:b/>
          <w:u w:val="single"/>
        </w:rPr>
        <w:t xml:space="preserve">12. </w:t>
      </w:r>
      <w:r w:rsidRPr="009B224A">
        <w:rPr>
          <w:u w:val="single"/>
        </w:rPr>
        <w:t>EC antenatal, peripartum and postnatal care for the mother</w:t>
      </w:r>
      <w:r w:rsidRPr="00CB795A">
        <w:rPr>
          <w:u w:val="single"/>
        </w:rPr>
        <w:t>.</w:t>
      </w:r>
    </w:p>
    <w:p w14:paraId="3CFC3610" w14:textId="77777777" w:rsidR="007902A5" w:rsidRDefault="007902A5" w:rsidP="007902A5">
      <w:pPr>
        <w:rPr>
          <w:rFonts w:ascii="MyriadPro-Cond" w:eastAsia="MyriadPro-Cond" w:cs="MyriadPro-Cond"/>
        </w:rPr>
      </w:pPr>
      <w:r>
        <w:rPr>
          <w:b/>
        </w:rPr>
        <w:t>Domain of Global Reference List:</w:t>
      </w:r>
      <w:r>
        <w:t xml:space="preserve"> Service coverage.</w:t>
      </w:r>
    </w:p>
    <w:p w14:paraId="32B2E7D8" w14:textId="77777777" w:rsidR="007902A5" w:rsidRDefault="007902A5" w:rsidP="007902A5">
      <w:pPr>
        <w:rPr>
          <w:b/>
        </w:rPr>
      </w:pPr>
      <w:r>
        <w:rPr>
          <w:b/>
        </w:rPr>
        <w:t>Rationale:</w:t>
      </w:r>
      <w:r>
        <w:t xml:space="preserve"> It is a tracer indicator. The maternal disorders mortality rate is an important indicator of maternal care and a proxy for the availability and quality of health services available to women aged 15 to 49.</w:t>
      </w:r>
    </w:p>
    <w:p w14:paraId="14750FC1" w14:textId="77777777" w:rsidR="007902A5" w:rsidRDefault="007902A5" w:rsidP="007902A5">
      <w:r>
        <w:rPr>
          <w:b/>
        </w:rPr>
        <w:t>Numerator:</w:t>
      </w:r>
      <w:r>
        <w:t xml:space="preserve"> </w:t>
      </w:r>
      <w:r w:rsidRPr="009B224A">
        <w:t>number of maternal deaths</w:t>
      </w:r>
      <w:r>
        <w:t>.</w:t>
      </w:r>
    </w:p>
    <w:p w14:paraId="69EA211F" w14:textId="77777777" w:rsidR="007902A5" w:rsidRDefault="007902A5" w:rsidP="007902A5">
      <w:r>
        <w:rPr>
          <w:b/>
        </w:rPr>
        <w:t xml:space="preserve">Denominator: </w:t>
      </w:r>
      <w:r w:rsidRPr="009B224A">
        <w:t>number of live births</w:t>
      </w:r>
      <w:r>
        <w:t>.</w:t>
      </w:r>
    </w:p>
    <w:p w14:paraId="5605A370" w14:textId="77777777" w:rsidR="007902A5" w:rsidRDefault="007902A5" w:rsidP="007902A5">
      <w:pPr>
        <w:autoSpaceDE w:val="0"/>
        <w:autoSpaceDN w:val="0"/>
        <w:adjustRightInd w:val="0"/>
        <w:spacing w:after="0" w:line="240" w:lineRule="auto"/>
        <w:rPr>
          <w:rFonts w:cstheme="minorHAnsi"/>
          <w:lang w:val="es-MX"/>
        </w:rPr>
      </w:pPr>
      <w:r>
        <w:rPr>
          <w:b/>
        </w:rPr>
        <w:t xml:space="preserve">Case definition: </w:t>
      </w:r>
      <w:r>
        <w:t xml:space="preserve">Any maternal death is considered to be a case. </w:t>
      </w:r>
      <w:r>
        <w:rPr>
          <w:lang w:val="es-MX"/>
        </w:rPr>
        <w:t xml:space="preserve">The ICD-10 </w:t>
      </w:r>
      <w:r>
        <w:rPr>
          <w:rFonts w:cstheme="minorHAnsi"/>
          <w:lang w:val="es-MX"/>
        </w:rPr>
        <w:t>codes for maternal disorders are O00-O07.9, O09-O16.9, O20-O26.9, O28-O36.9, O40-O48.1, O60-O77.9, O80-O92.7, O96-O98.6, O98.8-O99.9.</w:t>
      </w:r>
    </w:p>
    <w:p w14:paraId="315BDF39" w14:textId="77777777" w:rsidR="007902A5" w:rsidRDefault="007902A5" w:rsidP="007902A5">
      <w:pPr>
        <w:pStyle w:val="ListParagraph"/>
        <w:numPr>
          <w:ilvl w:val="0"/>
          <w:numId w:val="42"/>
        </w:numPr>
        <w:autoSpaceDE w:val="0"/>
        <w:autoSpaceDN w:val="0"/>
        <w:adjustRightInd w:val="0"/>
        <w:spacing w:after="0" w:line="240" w:lineRule="auto"/>
        <w:rPr>
          <w:rFonts w:cstheme="minorHAnsi"/>
          <w:lang w:val="es-MX"/>
        </w:rPr>
      </w:pPr>
      <w:r>
        <w:rPr>
          <w:rFonts w:cstheme="minorHAnsi"/>
          <w:lang w:val="es-MX"/>
        </w:rPr>
        <w:t xml:space="preserve">Maternal hemorrhage ICD-10: O20-O20.9, O43.2, O44-O46.9, O62-O62.9, O67-O67.9, O70, O72-O72.3 </w:t>
      </w:r>
    </w:p>
    <w:p w14:paraId="2C8F57E3" w14:textId="77777777" w:rsidR="007902A5" w:rsidRDefault="007902A5" w:rsidP="007902A5">
      <w:pPr>
        <w:pStyle w:val="ListParagraph"/>
        <w:numPr>
          <w:ilvl w:val="0"/>
          <w:numId w:val="42"/>
        </w:numPr>
        <w:autoSpaceDE w:val="0"/>
        <w:autoSpaceDN w:val="0"/>
        <w:adjustRightInd w:val="0"/>
        <w:spacing w:after="0" w:line="240" w:lineRule="auto"/>
        <w:rPr>
          <w:rFonts w:cstheme="minorHAnsi"/>
        </w:rPr>
      </w:pPr>
      <w:r>
        <w:rPr>
          <w:rFonts w:cstheme="minorHAnsi"/>
        </w:rPr>
        <w:t>Maternal sepsis and other maternal infections ICD-10: O23-O23.9, O85-O86.8, O91-O91.2</w:t>
      </w:r>
    </w:p>
    <w:p w14:paraId="122B7290" w14:textId="77777777" w:rsidR="007902A5" w:rsidRDefault="007902A5" w:rsidP="007902A5">
      <w:pPr>
        <w:pStyle w:val="ListParagraph"/>
        <w:numPr>
          <w:ilvl w:val="0"/>
          <w:numId w:val="42"/>
        </w:numPr>
        <w:autoSpaceDE w:val="0"/>
        <w:autoSpaceDN w:val="0"/>
        <w:adjustRightInd w:val="0"/>
        <w:spacing w:after="0" w:line="240" w:lineRule="auto"/>
        <w:rPr>
          <w:rFonts w:cstheme="minorHAnsi"/>
        </w:rPr>
      </w:pPr>
      <w:r>
        <w:rPr>
          <w:rFonts w:cstheme="minorHAnsi"/>
        </w:rPr>
        <w:t xml:space="preserve">Maternal hypertensive disorders ICD-10: O10-O16.9 </w:t>
      </w:r>
    </w:p>
    <w:p w14:paraId="27D6C2A6" w14:textId="77777777" w:rsidR="007902A5" w:rsidRPr="00DC7969" w:rsidRDefault="007902A5" w:rsidP="007902A5">
      <w:pPr>
        <w:pStyle w:val="ListParagraph"/>
        <w:numPr>
          <w:ilvl w:val="0"/>
          <w:numId w:val="42"/>
        </w:numPr>
        <w:autoSpaceDE w:val="0"/>
        <w:autoSpaceDN w:val="0"/>
        <w:adjustRightInd w:val="0"/>
        <w:spacing w:after="0" w:line="240" w:lineRule="auto"/>
        <w:rPr>
          <w:rFonts w:cstheme="minorHAnsi"/>
          <w:lang w:val="es-ES"/>
        </w:rPr>
      </w:pPr>
      <w:r w:rsidRPr="00DC7969">
        <w:rPr>
          <w:rFonts w:cstheme="minorHAnsi"/>
          <w:lang w:val="es-ES"/>
        </w:rPr>
        <w:t xml:space="preserve">Maternal obstructed labor and uterine rupture ICD-10: O32-O33.9, O64-O66.9, O71-O71.9 </w:t>
      </w:r>
    </w:p>
    <w:p w14:paraId="74F626F4" w14:textId="77777777" w:rsidR="007902A5" w:rsidRDefault="007902A5" w:rsidP="007902A5">
      <w:pPr>
        <w:pStyle w:val="ListParagraph"/>
        <w:numPr>
          <w:ilvl w:val="0"/>
          <w:numId w:val="42"/>
        </w:numPr>
        <w:autoSpaceDE w:val="0"/>
        <w:autoSpaceDN w:val="0"/>
        <w:adjustRightInd w:val="0"/>
        <w:spacing w:after="0" w:line="240" w:lineRule="auto"/>
        <w:rPr>
          <w:rFonts w:cstheme="minorHAnsi"/>
        </w:rPr>
      </w:pPr>
      <w:r>
        <w:rPr>
          <w:rFonts w:cstheme="minorHAnsi"/>
        </w:rPr>
        <w:t xml:space="preserve">Maternal abortion and miscarriage ICD-10: O01-O07.9 </w:t>
      </w:r>
    </w:p>
    <w:p w14:paraId="224157E0" w14:textId="77777777" w:rsidR="007902A5" w:rsidRDefault="007902A5" w:rsidP="007902A5">
      <w:pPr>
        <w:pStyle w:val="ListParagraph"/>
        <w:numPr>
          <w:ilvl w:val="0"/>
          <w:numId w:val="42"/>
        </w:numPr>
        <w:spacing w:after="0" w:line="240" w:lineRule="auto"/>
        <w:rPr>
          <w:rFonts w:cstheme="minorHAnsi"/>
          <w:lang w:val="es-MX"/>
        </w:rPr>
      </w:pPr>
      <w:r>
        <w:rPr>
          <w:rFonts w:cstheme="minorHAnsi"/>
          <w:lang w:val="es-MX"/>
        </w:rPr>
        <w:t>Ectopic pregnancy ICD-10: O00-O00.9</w:t>
      </w:r>
    </w:p>
    <w:p w14:paraId="3FD50251" w14:textId="77777777" w:rsidR="007902A5" w:rsidRDefault="007902A5" w:rsidP="007902A5">
      <w:pPr>
        <w:pStyle w:val="ListParagraph"/>
        <w:numPr>
          <w:ilvl w:val="0"/>
          <w:numId w:val="42"/>
        </w:numPr>
        <w:spacing w:after="0" w:line="240" w:lineRule="auto"/>
        <w:rPr>
          <w:rFonts w:cstheme="minorHAnsi"/>
          <w:lang w:val="es-MX"/>
        </w:rPr>
      </w:pPr>
      <w:r>
        <w:rPr>
          <w:rFonts w:cstheme="minorHAnsi"/>
          <w:lang w:val="es-MX"/>
        </w:rPr>
        <w:t xml:space="preserve">Indirect maternal deaths ICD-10: O24-O25.3, O98-O98.6, O98.8-O99.9 </w:t>
      </w:r>
    </w:p>
    <w:p w14:paraId="69C6C460" w14:textId="77777777" w:rsidR="007902A5" w:rsidRDefault="007902A5" w:rsidP="007902A5">
      <w:pPr>
        <w:pStyle w:val="ListParagraph"/>
        <w:numPr>
          <w:ilvl w:val="0"/>
          <w:numId w:val="42"/>
        </w:numPr>
        <w:autoSpaceDE w:val="0"/>
        <w:autoSpaceDN w:val="0"/>
        <w:adjustRightInd w:val="0"/>
        <w:spacing w:after="0" w:line="240" w:lineRule="auto"/>
        <w:rPr>
          <w:rFonts w:cstheme="minorHAnsi"/>
        </w:rPr>
      </w:pPr>
      <w:r>
        <w:rPr>
          <w:rFonts w:cstheme="minorHAnsi"/>
        </w:rPr>
        <w:t>Late maternal deaths ICD-10: O96-O97.9</w:t>
      </w:r>
    </w:p>
    <w:p w14:paraId="096886BF" w14:textId="77777777" w:rsidR="007902A5" w:rsidRDefault="007902A5" w:rsidP="007902A5">
      <w:pPr>
        <w:pStyle w:val="ListParagraph"/>
        <w:numPr>
          <w:ilvl w:val="0"/>
          <w:numId w:val="42"/>
        </w:numPr>
        <w:autoSpaceDE w:val="0"/>
        <w:autoSpaceDN w:val="0"/>
        <w:adjustRightInd w:val="0"/>
        <w:spacing w:after="0" w:line="240" w:lineRule="auto"/>
        <w:rPr>
          <w:rFonts w:cstheme="minorHAnsi"/>
        </w:rPr>
      </w:pPr>
      <w:r>
        <w:rPr>
          <w:rFonts w:cstheme="minorHAnsi"/>
        </w:rPr>
        <w:t>Maternal deaths aggravated by HIV/AIDS</w:t>
      </w:r>
    </w:p>
    <w:p w14:paraId="0A060822" w14:textId="77777777" w:rsidR="007902A5" w:rsidRPr="00DC7969" w:rsidRDefault="007902A5" w:rsidP="007902A5">
      <w:pPr>
        <w:pStyle w:val="ListParagraph"/>
        <w:numPr>
          <w:ilvl w:val="0"/>
          <w:numId w:val="42"/>
        </w:numPr>
        <w:autoSpaceDE w:val="0"/>
        <w:autoSpaceDN w:val="0"/>
        <w:adjustRightInd w:val="0"/>
        <w:spacing w:after="0" w:line="240" w:lineRule="auto"/>
        <w:rPr>
          <w:rFonts w:cstheme="minorHAnsi"/>
          <w:lang w:val="es-ES"/>
        </w:rPr>
      </w:pPr>
      <w:r w:rsidRPr="00512D10">
        <w:rPr>
          <w:rFonts w:cstheme="minorHAnsi"/>
          <w:lang w:val="es-MX"/>
        </w:rPr>
        <w:t>Other maternal disorders ICD-10: O09-O09.9, O21-O22.9, O26-O26.9, O28-O31.8, O34-O36.9, O40-O43.1, O43.8-O43.9, O47-O48.1, O60-O61.9, O63-O63.9, O68-O69.9, O70.0-O70.9, O73-O77.9, O80-O84.9, O87-O90.9, O92-O92.7</w:t>
      </w:r>
    </w:p>
    <w:p w14:paraId="2472C36A" w14:textId="77777777" w:rsidR="007902A5" w:rsidRPr="00DC7969" w:rsidRDefault="007902A5" w:rsidP="007902A5">
      <w:pPr>
        <w:pStyle w:val="ListParagraph"/>
        <w:autoSpaceDE w:val="0"/>
        <w:autoSpaceDN w:val="0"/>
        <w:adjustRightInd w:val="0"/>
        <w:spacing w:after="0" w:line="240" w:lineRule="auto"/>
        <w:rPr>
          <w:rFonts w:cstheme="minorHAnsi"/>
          <w:lang w:val="es-ES"/>
        </w:rPr>
      </w:pPr>
    </w:p>
    <w:p w14:paraId="61BF82C9" w14:textId="77777777" w:rsidR="007902A5" w:rsidRDefault="007902A5" w:rsidP="007902A5">
      <w:pPr>
        <w:rPr>
          <w:b/>
        </w:rPr>
      </w:pPr>
      <w:r>
        <w:rPr>
          <w:b/>
        </w:rPr>
        <w:t xml:space="preserve">Method of measurement: </w:t>
      </w:r>
      <w:r w:rsidRPr="00927C39">
        <w:t>Data from scientific l</w:t>
      </w:r>
      <w:r>
        <w:t>iterature and vital registration data.</w:t>
      </w:r>
    </w:p>
    <w:p w14:paraId="0B094B97" w14:textId="77777777" w:rsidR="007902A5" w:rsidRDefault="007902A5" w:rsidP="007902A5">
      <w:pPr>
        <w:rPr>
          <w:rFonts w:ascii="MyriadPro-Cond" w:eastAsia="MyriadPro-Cond" w:cs="MyriadPro-Cond"/>
        </w:rPr>
      </w:pPr>
      <w:r>
        <w:rPr>
          <w:b/>
        </w:rPr>
        <w:t>Measurement frequency:</w:t>
      </w:r>
      <w:r>
        <w:t xml:space="preserve"> Annual.</w:t>
      </w:r>
    </w:p>
    <w:p w14:paraId="7EA588EA" w14:textId="77777777" w:rsidR="007902A5" w:rsidRDefault="007902A5" w:rsidP="007902A5">
      <w:r>
        <w:rPr>
          <w:b/>
        </w:rPr>
        <w:t>Monitoring and evaluation framework:</w:t>
      </w:r>
      <w:r>
        <w:t xml:space="preserve"> Outcome.</w:t>
      </w:r>
    </w:p>
    <w:p w14:paraId="2F826787" w14:textId="77777777" w:rsidR="007902A5" w:rsidRDefault="007902A5" w:rsidP="007902A5">
      <w:pPr>
        <w:autoSpaceDE w:val="0"/>
        <w:autoSpaceDN w:val="0"/>
        <w:adjustRightInd w:val="0"/>
        <w:spacing w:after="0" w:line="240" w:lineRule="auto"/>
        <w:rPr>
          <w:rFonts w:ascii="Calibri" w:hAnsi="Calibri" w:cs="Calibri"/>
        </w:rPr>
      </w:pPr>
      <w:r>
        <w:rPr>
          <w:b/>
        </w:rPr>
        <w:t>Preferred data sources:</w:t>
      </w:r>
      <w:r>
        <w:t xml:space="preserve"> High-quality vital registration system data, however in </w:t>
      </w:r>
      <w:r>
        <w:rPr>
          <w:rFonts w:ascii="Calibri" w:hAnsi="Calibri" w:cs="Calibri"/>
        </w:rPr>
        <w:t>locations with low‐quality, or no, VR, maternal mortality metrics can be found in surveillance, surveys, census, and sibling history data sources. The best data sources have death counts due to maternal causes and the</w:t>
      </w:r>
    </w:p>
    <w:p w14:paraId="38CA7CE3" w14:textId="56D2A11F" w:rsidR="007902A5" w:rsidRDefault="007902A5" w:rsidP="00605DD9">
      <w:pPr>
        <w:rPr>
          <w:rFonts w:ascii="Calibri" w:hAnsi="Calibri" w:cs="Calibri"/>
        </w:rPr>
      </w:pPr>
      <w:r>
        <w:rPr>
          <w:rFonts w:ascii="Calibri" w:hAnsi="Calibri" w:cs="Calibri"/>
        </w:rPr>
        <w:t>total number of deaths for women within the reproductive ages of 15-49 by year</w:t>
      </w:r>
      <w:r w:rsidR="00605DD9">
        <w:rPr>
          <w:rFonts w:ascii="Calibri" w:hAnsi="Calibri" w:cs="Calibri"/>
        </w:rPr>
        <w:t xml:space="preserve">. </w:t>
      </w:r>
    </w:p>
    <w:p w14:paraId="4B25D7F2" w14:textId="27CB4B4F" w:rsidR="007902A5" w:rsidRPr="00610D00" w:rsidRDefault="007902A5" w:rsidP="007902A5">
      <w:r>
        <w:t xml:space="preserve"> </w:t>
      </w:r>
    </w:p>
    <w:p w14:paraId="0CAD1F24" w14:textId="01617543" w:rsidR="007902A5" w:rsidRDefault="007902A5" w:rsidP="007902A5">
      <w:pPr>
        <w:rPr>
          <w:b/>
        </w:rPr>
      </w:pPr>
    </w:p>
    <w:p w14:paraId="12DC330E" w14:textId="249F5DE8" w:rsidR="007902A5" w:rsidRDefault="007902A5" w:rsidP="007902A5">
      <w:pPr>
        <w:rPr>
          <w:b/>
        </w:rPr>
      </w:pPr>
    </w:p>
    <w:p w14:paraId="10E246A4" w14:textId="77777777" w:rsidR="007902A5" w:rsidRPr="00CE2032" w:rsidRDefault="007902A5" w:rsidP="007902A5">
      <w:pPr>
        <w:rPr>
          <w:b/>
          <w:u w:val="single"/>
        </w:rPr>
      </w:pPr>
    </w:p>
    <w:p w14:paraId="68906405" w14:textId="77777777" w:rsidR="007902A5" w:rsidRPr="00CE2032" w:rsidRDefault="007902A5" w:rsidP="007902A5">
      <w:pPr>
        <w:rPr>
          <w:u w:val="single"/>
        </w:rPr>
      </w:pPr>
      <w:r w:rsidRPr="00CE2032">
        <w:rPr>
          <w:b/>
          <w:u w:val="single"/>
        </w:rPr>
        <w:t xml:space="preserve">13. </w:t>
      </w:r>
      <w:r w:rsidRPr="009B224A">
        <w:rPr>
          <w:u w:val="single"/>
        </w:rPr>
        <w:t>EC treatment for pneumonia</w:t>
      </w:r>
      <w:r w:rsidRPr="00CE2032">
        <w:rPr>
          <w:u w:val="single"/>
        </w:rPr>
        <w:t>.</w:t>
      </w:r>
    </w:p>
    <w:p w14:paraId="0659F9A6" w14:textId="77777777" w:rsidR="007902A5" w:rsidRDefault="007902A5" w:rsidP="007902A5">
      <w:pPr>
        <w:rPr>
          <w:rFonts w:ascii="MyriadPro-Cond" w:eastAsia="MyriadPro-Cond" w:cs="MyriadPro-Cond"/>
        </w:rPr>
      </w:pPr>
      <w:r>
        <w:rPr>
          <w:b/>
        </w:rPr>
        <w:t>Domain of Global Reference List:</w:t>
      </w:r>
      <w:r>
        <w:t xml:space="preserve"> Service coverage.</w:t>
      </w:r>
    </w:p>
    <w:p w14:paraId="44CB0303" w14:textId="77777777" w:rsidR="007902A5" w:rsidRDefault="007902A5" w:rsidP="007902A5">
      <w:pPr>
        <w:rPr>
          <w:b/>
        </w:rPr>
      </w:pPr>
      <w:r>
        <w:rPr>
          <w:b/>
        </w:rPr>
        <w:t>Rationale:</w:t>
      </w:r>
      <w:r>
        <w:t xml:space="preserve"> It is a tracer indicator. Lower respiratory infections are a major cause of death among children under the age of 5 globally. The lower respiratory infections case fatality rate is an important marker of the quality and accessibility of health services for children.</w:t>
      </w:r>
    </w:p>
    <w:p w14:paraId="3B3F5C49" w14:textId="59D64225" w:rsidR="007902A5" w:rsidRDefault="007902A5" w:rsidP="007902A5">
      <w:r>
        <w:rPr>
          <w:b/>
        </w:rPr>
        <w:t>Numerator:</w:t>
      </w:r>
      <w:r>
        <w:t xml:space="preserve"> </w:t>
      </w:r>
      <w:r w:rsidRPr="009B224A">
        <w:t xml:space="preserve">number of deaths due to pneumonia in </w:t>
      </w:r>
      <w:r w:rsidR="00605DD9">
        <w:t>children</w:t>
      </w:r>
      <w:r w:rsidRPr="009B224A">
        <w:t xml:space="preserve"> </w:t>
      </w:r>
      <w:r w:rsidR="00605DD9">
        <w:t>under 5</w:t>
      </w:r>
      <w:r w:rsidRPr="009B224A">
        <w:t xml:space="preserve"> years</w:t>
      </w:r>
      <w:r>
        <w:t>.</w:t>
      </w:r>
    </w:p>
    <w:p w14:paraId="08C44054" w14:textId="384DDC01" w:rsidR="007902A5" w:rsidRPr="0013691F" w:rsidRDefault="007902A5" w:rsidP="007902A5">
      <w:r>
        <w:rPr>
          <w:b/>
        </w:rPr>
        <w:t xml:space="preserve">Denominator: </w:t>
      </w:r>
      <w:r w:rsidRPr="009B224A">
        <w:t xml:space="preserve">number of incident cases of pneumonia in </w:t>
      </w:r>
      <w:r w:rsidR="00605DD9">
        <w:t>children under</w:t>
      </w:r>
      <w:r w:rsidRPr="009B224A">
        <w:t xml:space="preserve"> 5 year</w:t>
      </w:r>
      <w:r w:rsidR="00055F78">
        <w:t>s</w:t>
      </w:r>
      <w:r>
        <w:t>.</w:t>
      </w:r>
    </w:p>
    <w:p w14:paraId="6BE487E4" w14:textId="77777777" w:rsidR="007902A5" w:rsidRPr="005C1DB3" w:rsidRDefault="007902A5" w:rsidP="007902A5">
      <w:r>
        <w:rPr>
          <w:b/>
        </w:rPr>
        <w:t xml:space="preserve">Case definition: </w:t>
      </w:r>
      <w:r>
        <w:t>We used clinician-diagnosed pneumonia or bronchiolitis as our case definition for lower respiratory infections (LRI). We included ICD9 codes 073.0-073.6, 079.82, 466-469, 480-489, 513.0, and 770.0 and ICD10 codes A48.1, J09-J22, J85.1, P23-P23.9, and U04.</w:t>
      </w:r>
    </w:p>
    <w:p w14:paraId="393E2A91" w14:textId="6919BD13" w:rsidR="007902A5" w:rsidRDefault="007902A5" w:rsidP="007902A5">
      <w:r>
        <w:rPr>
          <w:b/>
        </w:rPr>
        <w:t xml:space="preserve">Method of measurement: </w:t>
      </w:r>
      <w:r>
        <w:t>For the mortality estimates, we used all available data from vital registration systems, surveillance systems. The data used to estimate lower respiratory incidence include administrative and surveillance systems data, systematic literature review data, hospital inpatient and outpatient data, claims data from the US, and population-representative survey data.</w:t>
      </w:r>
      <w:r w:rsidR="00605DD9">
        <w:t xml:space="preserve"> </w:t>
      </w:r>
      <w:r w:rsidR="00605DD9" w:rsidRPr="00605DD9">
        <w:t xml:space="preserve">Censuses, WPP, </w:t>
      </w:r>
      <w:r w:rsidR="00605DD9">
        <w:t xml:space="preserve">and </w:t>
      </w:r>
      <w:r w:rsidR="00605DD9" w:rsidRPr="00605DD9">
        <w:t>household surveys (DHS, MICs, National); verbal autopsy studies</w:t>
      </w:r>
      <w:r w:rsidR="00605DD9">
        <w:t>.</w:t>
      </w:r>
    </w:p>
    <w:p w14:paraId="20F3D684" w14:textId="77777777" w:rsidR="007902A5" w:rsidRDefault="007902A5" w:rsidP="007902A5">
      <w:pPr>
        <w:rPr>
          <w:rFonts w:ascii="MyriadPro-Cond" w:eastAsia="MyriadPro-Cond" w:cs="MyriadPro-Cond"/>
        </w:rPr>
      </w:pPr>
      <w:r>
        <w:rPr>
          <w:b/>
        </w:rPr>
        <w:t>Measurement frequency:</w:t>
      </w:r>
      <w:r>
        <w:t xml:space="preserve"> Annual.</w:t>
      </w:r>
    </w:p>
    <w:p w14:paraId="457957A0" w14:textId="77777777" w:rsidR="007902A5" w:rsidRDefault="007902A5" w:rsidP="007902A5">
      <w:r>
        <w:rPr>
          <w:b/>
        </w:rPr>
        <w:t>Monitoring and evaluation framework:</w:t>
      </w:r>
      <w:r>
        <w:t xml:space="preserve"> Outcome.</w:t>
      </w:r>
    </w:p>
    <w:p w14:paraId="79538C2D" w14:textId="3615D65E" w:rsidR="007902A5" w:rsidRDefault="007902A5" w:rsidP="007902A5">
      <w:pPr>
        <w:rPr>
          <w:rFonts w:ascii="MyriadPro-Cond" w:eastAsia="MyriadPro-Cond" w:cs="MyriadPro-Cond"/>
        </w:rPr>
      </w:pPr>
      <w:r>
        <w:rPr>
          <w:b/>
        </w:rPr>
        <w:t>Preferred data sources:</w:t>
      </w:r>
      <w:r>
        <w:t xml:space="preserve"> Individual-level data from population-representative surveys, such as the Demographic and Health Survey and the Multiple Indicator Cluster Survey.</w:t>
      </w:r>
    </w:p>
    <w:p w14:paraId="7ECDA3A5" w14:textId="77777777" w:rsidR="007F6EAE" w:rsidRPr="007F6EAE" w:rsidRDefault="007F6EAE" w:rsidP="007902A5">
      <w:pPr>
        <w:rPr>
          <w:rFonts w:ascii="MyriadPro-Cond" w:eastAsia="MyriadPro-Cond" w:cs="MyriadPro-Cond"/>
        </w:rPr>
      </w:pPr>
    </w:p>
    <w:p w14:paraId="15358C77" w14:textId="77777777" w:rsidR="007902A5" w:rsidRDefault="007902A5" w:rsidP="007902A5">
      <w:pPr>
        <w:rPr>
          <w:b/>
        </w:rPr>
      </w:pPr>
    </w:p>
    <w:p w14:paraId="425A7D48" w14:textId="77777777" w:rsidR="007902A5" w:rsidRDefault="007902A5" w:rsidP="007902A5">
      <w:pPr>
        <w:rPr>
          <w:b/>
        </w:rPr>
      </w:pPr>
    </w:p>
    <w:p w14:paraId="24851B02" w14:textId="77777777" w:rsidR="007902A5" w:rsidRDefault="007902A5" w:rsidP="007902A5">
      <w:pPr>
        <w:rPr>
          <w:b/>
        </w:rPr>
      </w:pPr>
    </w:p>
    <w:p w14:paraId="2169EC20" w14:textId="77777777" w:rsidR="007902A5" w:rsidRDefault="007902A5" w:rsidP="007902A5">
      <w:pPr>
        <w:rPr>
          <w:b/>
        </w:rPr>
      </w:pPr>
    </w:p>
    <w:p w14:paraId="77945DA4" w14:textId="77777777" w:rsidR="007902A5" w:rsidRDefault="007902A5" w:rsidP="007902A5">
      <w:pPr>
        <w:rPr>
          <w:b/>
        </w:rPr>
      </w:pPr>
    </w:p>
    <w:p w14:paraId="11D94A80" w14:textId="77777777" w:rsidR="007902A5" w:rsidRDefault="007902A5" w:rsidP="007902A5">
      <w:pPr>
        <w:rPr>
          <w:b/>
        </w:rPr>
      </w:pPr>
    </w:p>
    <w:p w14:paraId="580BD5F5" w14:textId="77777777" w:rsidR="007902A5" w:rsidRDefault="007902A5" w:rsidP="007902A5">
      <w:pPr>
        <w:rPr>
          <w:b/>
        </w:rPr>
      </w:pPr>
    </w:p>
    <w:p w14:paraId="591C0074" w14:textId="77777777" w:rsidR="007902A5" w:rsidRDefault="007902A5" w:rsidP="007902A5">
      <w:pPr>
        <w:rPr>
          <w:b/>
        </w:rPr>
      </w:pPr>
    </w:p>
    <w:p w14:paraId="60D2CC5B" w14:textId="0C9E179D" w:rsidR="007902A5" w:rsidRDefault="007902A5" w:rsidP="007902A5">
      <w:pPr>
        <w:rPr>
          <w:b/>
        </w:rPr>
      </w:pPr>
    </w:p>
    <w:p w14:paraId="11F6B500" w14:textId="77777777" w:rsidR="007902A5" w:rsidRPr="00CE2032" w:rsidRDefault="007902A5" w:rsidP="007902A5">
      <w:pPr>
        <w:rPr>
          <w:u w:val="single"/>
        </w:rPr>
      </w:pPr>
      <w:r>
        <w:rPr>
          <w:b/>
          <w:u w:val="single"/>
        </w:rPr>
        <w:t>14.</w:t>
      </w:r>
      <w:r w:rsidRPr="00CE2032">
        <w:rPr>
          <w:u w:val="single"/>
        </w:rPr>
        <w:t xml:space="preserve"> </w:t>
      </w:r>
      <w:r>
        <w:rPr>
          <w:u w:val="single"/>
        </w:rPr>
        <w:t xml:space="preserve">EC treatment of </w:t>
      </w:r>
      <w:r w:rsidRPr="009B224A">
        <w:rPr>
          <w:u w:val="single"/>
        </w:rPr>
        <w:t>severe acute malnutrition</w:t>
      </w:r>
      <w:r w:rsidRPr="00CE2032">
        <w:rPr>
          <w:u w:val="single"/>
        </w:rPr>
        <w:t xml:space="preserve">. </w:t>
      </w:r>
    </w:p>
    <w:p w14:paraId="408A70BB" w14:textId="77777777" w:rsidR="007902A5" w:rsidRDefault="007902A5" w:rsidP="007902A5">
      <w:pPr>
        <w:rPr>
          <w:rFonts w:ascii="MyriadPro-Cond" w:eastAsia="MyriadPro-Cond" w:cs="MyriadPro-Cond"/>
        </w:rPr>
      </w:pPr>
      <w:r>
        <w:rPr>
          <w:b/>
        </w:rPr>
        <w:t>Domain of Global Reference List:</w:t>
      </w:r>
      <w:r>
        <w:t xml:space="preserve"> Service coverage.</w:t>
      </w:r>
    </w:p>
    <w:p w14:paraId="1A138476" w14:textId="77777777" w:rsidR="007902A5" w:rsidRDefault="007902A5" w:rsidP="007902A5">
      <w:pPr>
        <w:rPr>
          <w:b/>
        </w:rPr>
      </w:pPr>
      <w:r>
        <w:rPr>
          <w:b/>
        </w:rPr>
        <w:t>Rationale:</w:t>
      </w:r>
      <w:r>
        <w:t xml:space="preserve"> It is a tracer indicator. Protein-energy malnutrition is a preventable and amenable condition. The protein-energy malnutrition case fatality rate is an important marker of service coverage among children under the age of 5.</w:t>
      </w:r>
    </w:p>
    <w:p w14:paraId="79CD6420" w14:textId="77777777" w:rsidR="007902A5" w:rsidRDefault="007902A5" w:rsidP="007902A5">
      <w:r w:rsidRPr="002B2613">
        <w:rPr>
          <w:b/>
        </w:rPr>
        <w:t>Numerator:</w:t>
      </w:r>
      <w:r>
        <w:t xml:space="preserve"> </w:t>
      </w:r>
      <w:r w:rsidRPr="009B224A">
        <w:t>number of deaths due to severe acute malnutrition</w:t>
      </w:r>
      <w:r>
        <w:t>.</w:t>
      </w:r>
    </w:p>
    <w:p w14:paraId="578727D8" w14:textId="77777777" w:rsidR="007902A5" w:rsidRPr="00D75793" w:rsidRDefault="007902A5" w:rsidP="007902A5">
      <w:r>
        <w:rPr>
          <w:b/>
        </w:rPr>
        <w:t xml:space="preserve">Denominator: </w:t>
      </w:r>
      <w:r w:rsidRPr="009B224A">
        <w:t>number of incident cases of severe acute malnutrition</w:t>
      </w:r>
      <w:r>
        <w:t>.</w:t>
      </w:r>
    </w:p>
    <w:p w14:paraId="77106BFF" w14:textId="77777777" w:rsidR="007902A5" w:rsidRPr="005C1DB3" w:rsidRDefault="007902A5" w:rsidP="007902A5">
      <w:r>
        <w:rPr>
          <w:b/>
        </w:rPr>
        <w:t xml:space="preserve">Case definition: </w:t>
      </w:r>
      <w:r>
        <w:t xml:space="preserve">For protein-energy malnutrition (PEM), ICD 10 codes are E40-E46.9, E64.0, and ICD 9 codes are 260- 263.9. Our assessment of non-fatal PEM includes the quantification of non-fatal health loss associated with moderate and severe acute malnutrition, commonly referred to as “wasting”, and was defined in terms of weight-for-height Z-scores (WHZ) on the WHO 2006 growth standard for children. We quantified incident cases from four mutually exclusive and collectively exhaustive categories, moderate wasting without oedema (WHZ &lt; -2SD to &lt; -3 SD), moderate wasting with oedema (WHZ &lt; -2SD to &lt; -3 SD), severe wasting without oedema (WHZ &lt; -3SD), and severe wasting with oedema (WHZ &lt; -3SD). The aggregate of categories that include “oedema” can be considered equivalent to the disease state commonly referred to as “kwashiorkor” and severe wasting can likewise be considered equivalent to “marasmus”. </w:t>
      </w:r>
    </w:p>
    <w:p w14:paraId="4C0C105E" w14:textId="77777777" w:rsidR="007902A5" w:rsidRDefault="007902A5" w:rsidP="007902A5">
      <w:r>
        <w:rPr>
          <w:b/>
        </w:rPr>
        <w:t xml:space="preserve">Method of measurement: </w:t>
      </w:r>
      <w:r>
        <w:t xml:space="preserve">For the mortality estimates, vital registration, verbal autopsy, and surveillance data were used to model deaths due to nutritional deficiencies. </w:t>
      </w:r>
    </w:p>
    <w:p w14:paraId="05DCD45F" w14:textId="77777777" w:rsidR="007902A5" w:rsidRDefault="007902A5" w:rsidP="007902A5">
      <w:r>
        <w:t xml:space="preserve">For the incidence estimates, the input data for come in three primary streams. First, we used individual-level and tabulated child anthropometry data from health surveys, literature, and national reports, and centralised them to inform the prevalence of WHZ decrement in each category corresponding to our case definitions. Second, to inform the proportion of children under 5 years who have signs of organ failure manifested as oedema (i.e., kwashiorkor), we used a compiled dataset of surveys conducted using Standardized Monitoring and Assessment of Relief and Transitions (SMART) methods. Third, we used the cause-specific mortality rate (CSMR) results of our causes-of-death GBD analyses to inform spatiotemporal and age patterns in PEM mortality, which helped also inform patterns of PEM morbidity. </w:t>
      </w:r>
    </w:p>
    <w:p w14:paraId="03CBFB69" w14:textId="77777777" w:rsidR="007902A5" w:rsidRDefault="007902A5" w:rsidP="007902A5">
      <w:pPr>
        <w:rPr>
          <w:rFonts w:ascii="MyriadPro-Cond" w:eastAsia="MyriadPro-Cond" w:cs="MyriadPro-Cond"/>
        </w:rPr>
      </w:pPr>
      <w:r>
        <w:rPr>
          <w:b/>
        </w:rPr>
        <w:t>Measurement frequency:</w:t>
      </w:r>
      <w:r>
        <w:t xml:space="preserve"> Annual.</w:t>
      </w:r>
    </w:p>
    <w:p w14:paraId="437895C7" w14:textId="77777777" w:rsidR="007902A5" w:rsidRDefault="007902A5" w:rsidP="007902A5">
      <w:r>
        <w:rPr>
          <w:b/>
        </w:rPr>
        <w:t>Monitoring and evaluation framework:</w:t>
      </w:r>
      <w:r>
        <w:t xml:space="preserve"> Outcome.</w:t>
      </w:r>
    </w:p>
    <w:p w14:paraId="0416DAB3" w14:textId="77777777" w:rsidR="007902A5" w:rsidRDefault="007902A5" w:rsidP="007902A5">
      <w:pPr>
        <w:rPr>
          <w:rFonts w:ascii="MyriadPro-Cond" w:eastAsia="MyriadPro-Cond" w:cs="MyriadPro-Cond"/>
        </w:rPr>
      </w:pPr>
      <w:r>
        <w:rPr>
          <w:b/>
        </w:rPr>
        <w:t>Preferred data sources:</w:t>
      </w:r>
      <w:r>
        <w:t xml:space="preserve"> For mortality data, vital registration is preferred. For non-fatal data, individual-level data from nationally-representative health surveys is ideal.</w:t>
      </w:r>
    </w:p>
    <w:p w14:paraId="7BD0AB9D" w14:textId="4561C337" w:rsidR="007902A5" w:rsidRPr="001F3724" w:rsidRDefault="007902A5" w:rsidP="007902A5">
      <w:r>
        <w:rPr>
          <w:b/>
        </w:rPr>
        <w:t xml:space="preserve"> </w:t>
      </w:r>
    </w:p>
    <w:p w14:paraId="0112F755" w14:textId="6874AFD0" w:rsidR="007902A5" w:rsidRDefault="007902A5" w:rsidP="007902A5">
      <w:pPr>
        <w:rPr>
          <w:b/>
        </w:rPr>
      </w:pPr>
    </w:p>
    <w:p w14:paraId="4FA72CED" w14:textId="77777777" w:rsidR="007902A5" w:rsidRPr="009845B9" w:rsidRDefault="007902A5" w:rsidP="007902A5">
      <w:pPr>
        <w:rPr>
          <w:rFonts w:cstheme="minorHAnsi"/>
          <w:u w:val="single"/>
        </w:rPr>
      </w:pPr>
      <w:r w:rsidRPr="009845B9">
        <w:rPr>
          <w:b/>
          <w:u w:val="single"/>
        </w:rPr>
        <w:t xml:space="preserve">15. </w:t>
      </w:r>
      <w:r w:rsidRPr="004D6527">
        <w:rPr>
          <w:rFonts w:cstheme="minorHAnsi"/>
          <w:u w:val="single"/>
        </w:rPr>
        <w:t>EC treatment for diarrhoea</w:t>
      </w:r>
      <w:r w:rsidRPr="009845B9">
        <w:rPr>
          <w:rFonts w:cstheme="minorHAnsi"/>
          <w:u w:val="single"/>
        </w:rPr>
        <w:t>.</w:t>
      </w:r>
    </w:p>
    <w:p w14:paraId="5B737104" w14:textId="77777777" w:rsidR="007902A5" w:rsidRPr="004641A8" w:rsidRDefault="007902A5" w:rsidP="007902A5">
      <w:pPr>
        <w:rPr>
          <w:rFonts w:eastAsia="MyriadPro-Cond" w:cstheme="minorHAnsi"/>
        </w:rPr>
      </w:pPr>
      <w:r>
        <w:rPr>
          <w:rFonts w:cstheme="minorHAnsi"/>
          <w:b/>
        </w:rPr>
        <w:t>Domain of Global Reference L</w:t>
      </w:r>
      <w:r w:rsidRPr="004641A8">
        <w:rPr>
          <w:rFonts w:cstheme="minorHAnsi"/>
          <w:b/>
        </w:rPr>
        <w:t>ist:</w:t>
      </w:r>
      <w:r w:rsidRPr="004641A8">
        <w:rPr>
          <w:rFonts w:cstheme="minorHAnsi"/>
        </w:rPr>
        <w:t xml:space="preserve"> Service Coverage. </w:t>
      </w:r>
    </w:p>
    <w:p w14:paraId="76C3817D" w14:textId="77777777" w:rsidR="007902A5" w:rsidRPr="004641A8" w:rsidRDefault="007902A5" w:rsidP="007902A5">
      <w:pPr>
        <w:rPr>
          <w:rFonts w:cstheme="minorHAnsi"/>
          <w:b/>
        </w:rPr>
      </w:pPr>
      <w:r w:rsidRPr="004641A8">
        <w:rPr>
          <w:rFonts w:cstheme="minorHAnsi"/>
          <w:b/>
        </w:rPr>
        <w:t>Rationale:</w:t>
      </w:r>
      <w:r w:rsidRPr="004641A8">
        <w:rPr>
          <w:rFonts w:cstheme="minorHAnsi"/>
        </w:rPr>
        <w:t xml:space="preserve"> It is a tracer indicator. Diarrhea is one of the main causes of death globally among</w:t>
      </w:r>
      <w:r>
        <w:rPr>
          <w:rFonts w:cstheme="minorHAnsi"/>
        </w:rPr>
        <w:t xml:space="preserve"> children under the age of 5. The diarrhea case fatality rate</w:t>
      </w:r>
      <w:r w:rsidRPr="004641A8">
        <w:rPr>
          <w:rFonts w:cstheme="minorHAnsi"/>
        </w:rPr>
        <w:t xml:space="preserve"> is an important marker of availability of services for children under the age of 5.</w:t>
      </w:r>
    </w:p>
    <w:p w14:paraId="454B8CD9" w14:textId="04299A05" w:rsidR="007902A5" w:rsidRPr="004641A8" w:rsidRDefault="007902A5" w:rsidP="007902A5">
      <w:pPr>
        <w:rPr>
          <w:rFonts w:cstheme="minorHAnsi"/>
        </w:rPr>
      </w:pPr>
      <w:r w:rsidRPr="004641A8">
        <w:rPr>
          <w:rFonts w:cstheme="minorHAnsi"/>
          <w:b/>
        </w:rPr>
        <w:t>Numerator:</w:t>
      </w:r>
      <w:r w:rsidRPr="004641A8">
        <w:rPr>
          <w:rFonts w:cstheme="minorHAnsi"/>
        </w:rPr>
        <w:t xml:space="preserve"> </w:t>
      </w:r>
      <w:r w:rsidRPr="004D6527">
        <w:rPr>
          <w:rFonts w:cstheme="minorHAnsi"/>
        </w:rPr>
        <w:t>number of deaths due to diarrhoea</w:t>
      </w:r>
      <w:r w:rsidR="00605DD9">
        <w:rPr>
          <w:rFonts w:cstheme="minorHAnsi"/>
        </w:rPr>
        <w:t xml:space="preserve"> in children under the age of 5</w:t>
      </w:r>
      <w:r w:rsidRPr="004641A8">
        <w:rPr>
          <w:rFonts w:cstheme="minorHAnsi"/>
        </w:rPr>
        <w:t>.</w:t>
      </w:r>
    </w:p>
    <w:p w14:paraId="7E674528" w14:textId="4DAEECD1" w:rsidR="007902A5" w:rsidRPr="004641A8" w:rsidRDefault="007902A5" w:rsidP="007902A5">
      <w:pPr>
        <w:rPr>
          <w:rFonts w:cstheme="minorHAnsi"/>
        </w:rPr>
      </w:pPr>
      <w:r w:rsidRPr="004641A8">
        <w:rPr>
          <w:rFonts w:cstheme="minorHAnsi"/>
          <w:b/>
        </w:rPr>
        <w:t xml:space="preserve">Denominator: </w:t>
      </w:r>
      <w:r w:rsidRPr="004D6527">
        <w:rPr>
          <w:rFonts w:cstheme="minorHAnsi"/>
        </w:rPr>
        <w:t>number of incident cases of diarrhoea</w:t>
      </w:r>
      <w:r w:rsidR="00605DD9">
        <w:rPr>
          <w:rFonts w:cstheme="minorHAnsi"/>
        </w:rPr>
        <w:t xml:space="preserve"> in children under the age of 5</w:t>
      </w:r>
      <w:r w:rsidRPr="004641A8">
        <w:rPr>
          <w:rFonts w:cstheme="minorHAnsi"/>
        </w:rPr>
        <w:t>.</w:t>
      </w:r>
    </w:p>
    <w:p w14:paraId="5AD5180D" w14:textId="77777777" w:rsidR="007902A5" w:rsidRPr="004641A8" w:rsidRDefault="007902A5" w:rsidP="007902A5">
      <w:pPr>
        <w:rPr>
          <w:rFonts w:cstheme="minorHAnsi"/>
          <w:b/>
        </w:rPr>
      </w:pPr>
      <w:r w:rsidRPr="004641A8">
        <w:rPr>
          <w:rFonts w:cstheme="minorHAnsi"/>
          <w:b/>
        </w:rPr>
        <w:t>Case definition:</w:t>
      </w:r>
      <w:r w:rsidRPr="004641A8">
        <w:rPr>
          <w:rFonts w:cstheme="minorHAnsi"/>
        </w:rPr>
        <w:t xml:space="preserve"> We defined diarrhoeal disease episodes as three or more loose stools in a 24-hour period.</w:t>
      </w:r>
    </w:p>
    <w:p w14:paraId="3C0882C4" w14:textId="77777777" w:rsidR="007902A5" w:rsidRPr="004641A8" w:rsidRDefault="007902A5" w:rsidP="007902A5">
      <w:pPr>
        <w:rPr>
          <w:rFonts w:cstheme="minorHAnsi"/>
        </w:rPr>
      </w:pPr>
      <w:r w:rsidRPr="004641A8">
        <w:rPr>
          <w:rFonts w:cstheme="minorHAnsi"/>
          <w:b/>
        </w:rPr>
        <w:t xml:space="preserve">Method of measurement: </w:t>
      </w:r>
      <w:r w:rsidRPr="004641A8">
        <w:rPr>
          <w:rFonts w:cstheme="minorHAnsi"/>
        </w:rPr>
        <w:t>For the mortality estimates, we used all available data from vital registration systems, surveillance systems and verbal autopsy. For the non-fatal estimates, we used hospital and healthcare utilization data (ICD9 codes 001-009.9 and ICD10 codes A00-A09) and population-representative surveys, such as the Demographic and Health Surveys and the Multiple Indicator Cluster Surveys.</w:t>
      </w:r>
    </w:p>
    <w:p w14:paraId="2D8D5D17" w14:textId="77777777" w:rsidR="007902A5" w:rsidRPr="004641A8" w:rsidRDefault="007902A5" w:rsidP="007902A5">
      <w:pPr>
        <w:rPr>
          <w:rFonts w:eastAsia="MyriadPro-Cond" w:cstheme="minorHAnsi"/>
        </w:rPr>
      </w:pPr>
      <w:r w:rsidRPr="004641A8">
        <w:rPr>
          <w:rFonts w:cstheme="minorHAnsi"/>
          <w:b/>
        </w:rPr>
        <w:t>Measurement frequency:</w:t>
      </w:r>
      <w:r w:rsidRPr="004641A8">
        <w:rPr>
          <w:rFonts w:cstheme="minorHAnsi"/>
        </w:rPr>
        <w:t xml:space="preserve"> Annual.</w:t>
      </w:r>
    </w:p>
    <w:p w14:paraId="23390490" w14:textId="77777777" w:rsidR="007902A5" w:rsidRPr="004641A8" w:rsidRDefault="007902A5" w:rsidP="007902A5">
      <w:pPr>
        <w:rPr>
          <w:rFonts w:cstheme="minorHAnsi"/>
        </w:rPr>
      </w:pPr>
      <w:r w:rsidRPr="004641A8">
        <w:rPr>
          <w:rFonts w:cstheme="minorHAnsi"/>
          <w:b/>
        </w:rPr>
        <w:t>Monitoring and evaluation framework:</w:t>
      </w:r>
      <w:r w:rsidRPr="004641A8">
        <w:rPr>
          <w:rFonts w:cstheme="minorHAnsi"/>
        </w:rPr>
        <w:t xml:space="preserve"> Outcome.</w:t>
      </w:r>
    </w:p>
    <w:p w14:paraId="5D70CD8B" w14:textId="217FD2A8" w:rsidR="007902A5" w:rsidRDefault="007902A5" w:rsidP="007902A5">
      <w:pPr>
        <w:pStyle w:val="Default"/>
        <w:rPr>
          <w:rFonts w:asciiTheme="minorHAnsi" w:hAnsiTheme="minorHAnsi" w:cstheme="minorHAnsi"/>
          <w:sz w:val="22"/>
          <w:szCs w:val="22"/>
        </w:rPr>
      </w:pPr>
      <w:r w:rsidRPr="004641A8">
        <w:rPr>
          <w:rFonts w:asciiTheme="minorHAnsi" w:hAnsiTheme="minorHAnsi" w:cstheme="minorHAnsi"/>
          <w:b/>
          <w:sz w:val="22"/>
          <w:szCs w:val="22"/>
        </w:rPr>
        <w:t>Preferred data sources:</w:t>
      </w:r>
      <w:r w:rsidRPr="004641A8">
        <w:rPr>
          <w:rFonts w:asciiTheme="minorHAnsi" w:hAnsiTheme="minorHAnsi" w:cstheme="minorHAnsi"/>
          <w:sz w:val="22"/>
          <w:szCs w:val="22"/>
        </w:rPr>
        <w:t xml:space="preserve"> Vital regi</w:t>
      </w:r>
      <w:r>
        <w:rPr>
          <w:rFonts w:asciiTheme="minorHAnsi" w:hAnsiTheme="minorHAnsi" w:cstheme="minorHAnsi"/>
          <w:sz w:val="22"/>
          <w:szCs w:val="22"/>
        </w:rPr>
        <w:t>stration systems for mortality estimates and individual-level, population-representative survey data for non-fatal estimates.</w:t>
      </w:r>
      <w:r w:rsidR="00605DD9">
        <w:rPr>
          <w:rFonts w:asciiTheme="minorHAnsi" w:hAnsiTheme="minorHAnsi" w:cstheme="minorHAnsi"/>
          <w:sz w:val="22"/>
          <w:szCs w:val="22"/>
        </w:rPr>
        <w:t xml:space="preserve"> </w:t>
      </w:r>
      <w:r w:rsidR="00605DD9" w:rsidRPr="00605DD9">
        <w:rPr>
          <w:rFonts w:asciiTheme="minorHAnsi" w:hAnsiTheme="minorHAnsi" w:cstheme="minorHAnsi"/>
          <w:sz w:val="22"/>
          <w:szCs w:val="22"/>
        </w:rPr>
        <w:t>National household surveys; DHS, MICS</w:t>
      </w:r>
      <w:r w:rsidR="00605DD9">
        <w:rPr>
          <w:rFonts w:asciiTheme="minorHAnsi" w:hAnsiTheme="minorHAnsi" w:cstheme="minorHAnsi"/>
          <w:sz w:val="22"/>
          <w:szCs w:val="22"/>
        </w:rPr>
        <w:t>.</w:t>
      </w:r>
    </w:p>
    <w:p w14:paraId="4B8A4767" w14:textId="77777777" w:rsidR="007902A5" w:rsidRPr="004641A8" w:rsidRDefault="007902A5" w:rsidP="007902A5">
      <w:pPr>
        <w:pStyle w:val="Default"/>
        <w:rPr>
          <w:rFonts w:asciiTheme="minorHAnsi" w:hAnsiTheme="minorHAnsi" w:cstheme="minorHAnsi"/>
          <w:sz w:val="22"/>
          <w:szCs w:val="22"/>
        </w:rPr>
      </w:pPr>
    </w:p>
    <w:p w14:paraId="12E22891" w14:textId="528AE082" w:rsidR="007902A5" w:rsidRPr="004641A8" w:rsidRDefault="007902A5" w:rsidP="007902A5">
      <w:pPr>
        <w:rPr>
          <w:rFonts w:cstheme="minorHAnsi"/>
        </w:rPr>
      </w:pPr>
    </w:p>
    <w:p w14:paraId="093AF69B" w14:textId="77777777" w:rsidR="007902A5" w:rsidRDefault="007902A5" w:rsidP="007902A5">
      <w:pPr>
        <w:rPr>
          <w:b/>
          <w:u w:val="single"/>
        </w:rPr>
      </w:pPr>
    </w:p>
    <w:p w14:paraId="36134711" w14:textId="77777777" w:rsidR="007902A5" w:rsidRDefault="007902A5" w:rsidP="007902A5">
      <w:pPr>
        <w:rPr>
          <w:b/>
          <w:u w:val="single"/>
        </w:rPr>
      </w:pPr>
    </w:p>
    <w:p w14:paraId="1C9A17D7" w14:textId="77777777" w:rsidR="007902A5" w:rsidRDefault="007902A5" w:rsidP="007902A5">
      <w:pPr>
        <w:rPr>
          <w:b/>
          <w:u w:val="single"/>
        </w:rPr>
      </w:pPr>
    </w:p>
    <w:p w14:paraId="5E916394" w14:textId="77777777" w:rsidR="007902A5" w:rsidRDefault="007902A5" w:rsidP="007902A5">
      <w:pPr>
        <w:rPr>
          <w:b/>
          <w:u w:val="single"/>
        </w:rPr>
      </w:pPr>
    </w:p>
    <w:p w14:paraId="0AA601C1" w14:textId="77777777" w:rsidR="007902A5" w:rsidRDefault="007902A5" w:rsidP="007902A5">
      <w:pPr>
        <w:rPr>
          <w:b/>
          <w:u w:val="single"/>
        </w:rPr>
      </w:pPr>
    </w:p>
    <w:p w14:paraId="1D9E0C8D" w14:textId="77777777" w:rsidR="007902A5" w:rsidRDefault="007902A5" w:rsidP="007902A5">
      <w:pPr>
        <w:rPr>
          <w:b/>
          <w:u w:val="single"/>
        </w:rPr>
      </w:pPr>
    </w:p>
    <w:p w14:paraId="535442FB" w14:textId="77777777" w:rsidR="007902A5" w:rsidRDefault="007902A5" w:rsidP="007902A5">
      <w:pPr>
        <w:rPr>
          <w:b/>
          <w:u w:val="single"/>
        </w:rPr>
      </w:pPr>
    </w:p>
    <w:p w14:paraId="629A7524" w14:textId="77777777" w:rsidR="007902A5" w:rsidRDefault="007902A5" w:rsidP="007902A5">
      <w:pPr>
        <w:rPr>
          <w:b/>
          <w:u w:val="single"/>
        </w:rPr>
      </w:pPr>
    </w:p>
    <w:p w14:paraId="643243E4" w14:textId="48B4841C" w:rsidR="007902A5" w:rsidRDefault="007902A5" w:rsidP="007902A5">
      <w:pPr>
        <w:rPr>
          <w:b/>
          <w:u w:val="single"/>
        </w:rPr>
      </w:pPr>
    </w:p>
    <w:p w14:paraId="77635F69" w14:textId="77777777" w:rsidR="007902A5" w:rsidRPr="009845B9" w:rsidRDefault="007902A5" w:rsidP="007902A5">
      <w:pPr>
        <w:rPr>
          <w:u w:val="single"/>
        </w:rPr>
      </w:pPr>
      <w:r w:rsidRPr="009845B9">
        <w:rPr>
          <w:b/>
          <w:u w:val="single"/>
        </w:rPr>
        <w:t xml:space="preserve">16. </w:t>
      </w:r>
      <w:r w:rsidRPr="009516AC">
        <w:rPr>
          <w:u w:val="single"/>
        </w:rPr>
        <w:t>EC antiretroviral therapy</w:t>
      </w:r>
      <w:r w:rsidRPr="009845B9">
        <w:rPr>
          <w:u w:val="single"/>
        </w:rPr>
        <w:t>.</w:t>
      </w:r>
    </w:p>
    <w:p w14:paraId="3A503A54" w14:textId="77777777" w:rsidR="007902A5" w:rsidRDefault="007902A5" w:rsidP="007902A5">
      <w:pPr>
        <w:rPr>
          <w:rFonts w:ascii="MyriadPro-Cond" w:eastAsia="MyriadPro-Cond" w:cs="MyriadPro-Cond"/>
        </w:rPr>
      </w:pPr>
      <w:r>
        <w:rPr>
          <w:b/>
        </w:rPr>
        <w:t>Domain of Global Reference List:</w:t>
      </w:r>
      <w:r>
        <w:t xml:space="preserve"> Service coverage.</w:t>
      </w:r>
    </w:p>
    <w:p w14:paraId="32DA73AB" w14:textId="77777777" w:rsidR="007902A5" w:rsidRDefault="007902A5" w:rsidP="007902A5">
      <w:pPr>
        <w:rPr>
          <w:b/>
        </w:rPr>
      </w:pPr>
      <w:r>
        <w:rPr>
          <w:b/>
        </w:rPr>
        <w:t>Rationale:</w:t>
      </w:r>
      <w:r>
        <w:t xml:space="preserve"> It is a tracer indicator. HIV/AIDS is a major cause of death and disease globally and Antiretroviral Therapy coverage is a marker of access to quality health services.</w:t>
      </w:r>
    </w:p>
    <w:p w14:paraId="01944815" w14:textId="77777777" w:rsidR="007902A5" w:rsidRDefault="007902A5" w:rsidP="007902A5">
      <w:r>
        <w:rPr>
          <w:b/>
        </w:rPr>
        <w:t>Numerator:</w:t>
      </w:r>
      <w:r>
        <w:t xml:space="preserve">  </w:t>
      </w:r>
      <w:r w:rsidRPr="009516AC">
        <w:t>number of individuals on antiretroviral therapy</w:t>
      </w:r>
      <w:r>
        <w:t>.</w:t>
      </w:r>
    </w:p>
    <w:p w14:paraId="309E02C1" w14:textId="77777777" w:rsidR="007902A5" w:rsidRPr="00D75793" w:rsidRDefault="007902A5" w:rsidP="007902A5">
      <w:r>
        <w:rPr>
          <w:b/>
        </w:rPr>
        <w:t xml:space="preserve">Denominator: </w:t>
      </w:r>
      <w:r w:rsidRPr="009516AC">
        <w:t>number of individuals with HIV/AIDS (Future developments will allow correction of the numerator to be number of individuals receiving antiretroviral therapy</w:t>
      </w:r>
      <w:r>
        <w:t xml:space="preserve"> a</w:t>
      </w:r>
      <w:r w:rsidRPr="009516AC">
        <w:t>nd achieving viral suppression)</w:t>
      </w:r>
      <w:r>
        <w:t>.</w:t>
      </w:r>
    </w:p>
    <w:p w14:paraId="38DC77A3" w14:textId="77777777" w:rsidR="007902A5" w:rsidRPr="003D615D" w:rsidRDefault="007902A5" w:rsidP="007902A5">
      <w:r>
        <w:rPr>
          <w:b/>
        </w:rPr>
        <w:t xml:space="preserve">Case definition: </w:t>
      </w:r>
      <w:r>
        <w:t xml:space="preserve">Any person who is currently receiving ART drugs will be considered a case. </w:t>
      </w:r>
      <w:r w:rsidRPr="007105DF">
        <w:t>Future developments will allow correction of the numerator to be those receiving care and a</w:t>
      </w:r>
      <w:r>
        <w:t>chieving viral load suppression.</w:t>
      </w:r>
    </w:p>
    <w:p w14:paraId="7CE67F2A" w14:textId="77777777" w:rsidR="007902A5" w:rsidRPr="00402EF7" w:rsidRDefault="007902A5" w:rsidP="007902A5">
      <w:r>
        <w:rPr>
          <w:b/>
        </w:rPr>
        <w:t xml:space="preserve">Method of measurement: </w:t>
      </w:r>
      <w:r>
        <w:t>UNAIDS.</w:t>
      </w:r>
    </w:p>
    <w:p w14:paraId="31A979C7" w14:textId="77777777" w:rsidR="007902A5" w:rsidRDefault="007902A5" w:rsidP="007902A5">
      <w:pPr>
        <w:rPr>
          <w:rFonts w:ascii="MyriadPro-Cond" w:eastAsia="MyriadPro-Cond" w:cs="MyriadPro-Cond"/>
        </w:rPr>
      </w:pPr>
      <w:r>
        <w:rPr>
          <w:b/>
        </w:rPr>
        <w:t>Measurement frequency:</w:t>
      </w:r>
      <w:r>
        <w:t xml:space="preserve"> Annual.</w:t>
      </w:r>
    </w:p>
    <w:p w14:paraId="4DB18329" w14:textId="77777777" w:rsidR="007902A5" w:rsidRDefault="007902A5" w:rsidP="007902A5">
      <w:r>
        <w:rPr>
          <w:b/>
        </w:rPr>
        <w:t>Monitoring and evaluation framework:</w:t>
      </w:r>
      <w:r>
        <w:t xml:space="preserve"> Outcome.</w:t>
      </w:r>
    </w:p>
    <w:p w14:paraId="2E019AC1" w14:textId="77777777" w:rsidR="007902A5" w:rsidRDefault="007902A5" w:rsidP="007902A5">
      <w:pPr>
        <w:rPr>
          <w:rFonts w:ascii="MyriadPro-Cond" w:eastAsia="MyriadPro-Cond" w:cs="MyriadPro-Cond"/>
        </w:rPr>
      </w:pPr>
      <w:r>
        <w:rPr>
          <w:b/>
        </w:rPr>
        <w:t>Preferred data sources:</w:t>
      </w:r>
      <w:r>
        <w:t xml:space="preserve"> UNAIDS.</w:t>
      </w:r>
    </w:p>
    <w:p w14:paraId="0E9AB64F" w14:textId="34D3B8AA" w:rsidR="007902A5" w:rsidRPr="00610D00" w:rsidRDefault="007902A5" w:rsidP="007902A5"/>
    <w:p w14:paraId="6050A028" w14:textId="77777777" w:rsidR="007902A5" w:rsidRDefault="007902A5" w:rsidP="007902A5">
      <w:pPr>
        <w:rPr>
          <w:b/>
          <w:u w:val="single"/>
        </w:rPr>
      </w:pPr>
    </w:p>
    <w:p w14:paraId="101D05DC" w14:textId="77777777" w:rsidR="007902A5" w:rsidRDefault="007902A5" w:rsidP="007902A5">
      <w:pPr>
        <w:rPr>
          <w:b/>
          <w:u w:val="single"/>
        </w:rPr>
      </w:pPr>
    </w:p>
    <w:p w14:paraId="44768EE8" w14:textId="77777777" w:rsidR="007902A5" w:rsidRDefault="007902A5" w:rsidP="007902A5">
      <w:pPr>
        <w:rPr>
          <w:b/>
          <w:u w:val="single"/>
        </w:rPr>
      </w:pPr>
    </w:p>
    <w:p w14:paraId="135526C9" w14:textId="77777777" w:rsidR="007902A5" w:rsidRDefault="007902A5" w:rsidP="007902A5">
      <w:pPr>
        <w:rPr>
          <w:b/>
          <w:u w:val="single"/>
        </w:rPr>
      </w:pPr>
    </w:p>
    <w:p w14:paraId="44BDB1F4" w14:textId="77777777" w:rsidR="007902A5" w:rsidRDefault="007902A5" w:rsidP="007902A5">
      <w:pPr>
        <w:rPr>
          <w:b/>
          <w:u w:val="single"/>
        </w:rPr>
      </w:pPr>
    </w:p>
    <w:p w14:paraId="3C60BBAD" w14:textId="77777777" w:rsidR="007902A5" w:rsidRDefault="007902A5" w:rsidP="007902A5">
      <w:pPr>
        <w:rPr>
          <w:b/>
          <w:u w:val="single"/>
        </w:rPr>
      </w:pPr>
    </w:p>
    <w:p w14:paraId="660CB41C" w14:textId="77777777" w:rsidR="007902A5" w:rsidRDefault="007902A5" w:rsidP="007902A5">
      <w:pPr>
        <w:rPr>
          <w:b/>
          <w:u w:val="single"/>
        </w:rPr>
      </w:pPr>
    </w:p>
    <w:p w14:paraId="10669554" w14:textId="77777777" w:rsidR="007902A5" w:rsidRDefault="007902A5" w:rsidP="007902A5">
      <w:pPr>
        <w:rPr>
          <w:b/>
          <w:u w:val="single"/>
        </w:rPr>
      </w:pPr>
    </w:p>
    <w:p w14:paraId="4A7B745B" w14:textId="77777777" w:rsidR="007902A5" w:rsidRDefault="007902A5" w:rsidP="007902A5">
      <w:pPr>
        <w:rPr>
          <w:b/>
          <w:u w:val="single"/>
        </w:rPr>
      </w:pPr>
    </w:p>
    <w:p w14:paraId="7D2BB3C7" w14:textId="77777777" w:rsidR="007902A5" w:rsidRDefault="007902A5" w:rsidP="007902A5">
      <w:pPr>
        <w:rPr>
          <w:b/>
          <w:u w:val="single"/>
        </w:rPr>
      </w:pPr>
    </w:p>
    <w:p w14:paraId="109CC8A4" w14:textId="77777777" w:rsidR="007902A5" w:rsidRDefault="007902A5" w:rsidP="007902A5">
      <w:pPr>
        <w:rPr>
          <w:b/>
          <w:u w:val="single"/>
        </w:rPr>
      </w:pPr>
    </w:p>
    <w:p w14:paraId="567F4EC4" w14:textId="179711E6" w:rsidR="007902A5" w:rsidRDefault="007902A5" w:rsidP="007902A5">
      <w:pPr>
        <w:rPr>
          <w:b/>
          <w:u w:val="single"/>
        </w:rPr>
      </w:pPr>
    </w:p>
    <w:p w14:paraId="6CFD8B5E" w14:textId="77777777" w:rsidR="007902A5" w:rsidRPr="00CE2032" w:rsidRDefault="007902A5" w:rsidP="007902A5">
      <w:pPr>
        <w:rPr>
          <w:u w:val="single"/>
        </w:rPr>
      </w:pPr>
      <w:r>
        <w:rPr>
          <w:b/>
          <w:u w:val="single"/>
        </w:rPr>
        <w:t xml:space="preserve">17. </w:t>
      </w:r>
      <w:r w:rsidRPr="009516AC">
        <w:rPr>
          <w:u w:val="single"/>
        </w:rPr>
        <w:t>EC tuberculosis treatment</w:t>
      </w:r>
      <w:r w:rsidRPr="00CE2032">
        <w:rPr>
          <w:u w:val="single"/>
        </w:rPr>
        <w:t>.</w:t>
      </w:r>
    </w:p>
    <w:p w14:paraId="55D89101" w14:textId="77777777" w:rsidR="007902A5" w:rsidRDefault="007902A5" w:rsidP="007902A5">
      <w:pPr>
        <w:rPr>
          <w:rFonts w:ascii="MyriadPro-Cond" w:eastAsia="MyriadPro-Cond" w:cs="MyriadPro-Cond"/>
        </w:rPr>
      </w:pPr>
      <w:r>
        <w:rPr>
          <w:b/>
        </w:rPr>
        <w:t>Domain of Global Reference List:</w:t>
      </w:r>
      <w:r>
        <w:t xml:space="preserve"> Service coverage.</w:t>
      </w:r>
    </w:p>
    <w:p w14:paraId="703FB6F1" w14:textId="77777777" w:rsidR="007902A5" w:rsidRDefault="007902A5" w:rsidP="007902A5">
      <w:pPr>
        <w:rPr>
          <w:b/>
        </w:rPr>
      </w:pPr>
      <w:r>
        <w:rPr>
          <w:b/>
        </w:rPr>
        <w:t>Rationale:</w:t>
      </w:r>
      <w:r>
        <w:t xml:space="preserve"> It is a tracer indicator. It is an important marker of health services coverage among adults.</w:t>
      </w:r>
    </w:p>
    <w:p w14:paraId="575A24C0" w14:textId="77777777" w:rsidR="007902A5" w:rsidRPr="00D75793" w:rsidRDefault="007902A5" w:rsidP="007902A5">
      <w:r>
        <w:rPr>
          <w:b/>
        </w:rPr>
        <w:t xml:space="preserve">Indicator calculation: </w:t>
      </w:r>
      <w:r w:rsidRPr="009516AC">
        <w:t>measured as the ratio of notified and treated tuberculosis cases (all forms) to estimated incidence for the same year</w:t>
      </w:r>
      <w:r>
        <w:t>.</w:t>
      </w:r>
    </w:p>
    <w:p w14:paraId="3840B47D" w14:textId="77777777" w:rsidR="007902A5" w:rsidRPr="00EC0A6D" w:rsidRDefault="007902A5" w:rsidP="007902A5">
      <w:r>
        <w:rPr>
          <w:b/>
        </w:rPr>
        <w:t xml:space="preserve">Case definition: </w:t>
      </w:r>
      <w:r>
        <w:t>Notified and treated cases of TB.</w:t>
      </w:r>
    </w:p>
    <w:p w14:paraId="2558F7FA" w14:textId="6B1716AA" w:rsidR="007902A5" w:rsidRDefault="007902A5" w:rsidP="007902A5">
      <w:r>
        <w:rPr>
          <w:b/>
        </w:rPr>
        <w:t xml:space="preserve">Method of measurement: </w:t>
      </w:r>
      <w:r>
        <w:t xml:space="preserve">To generate estimates of effective TB treatment (case detection x treatment success rate), WHO data on treatment success rates, incident case notifications, and </w:t>
      </w:r>
      <w:r w:rsidR="007F6EAE">
        <w:t>modelled</w:t>
      </w:r>
      <w:r>
        <w:t xml:space="preserve"> estimates of total incidence, by country and year, are used. </w:t>
      </w:r>
    </w:p>
    <w:p w14:paraId="612E001E" w14:textId="77777777" w:rsidR="007902A5" w:rsidRDefault="007902A5" w:rsidP="007902A5">
      <w:pPr>
        <w:rPr>
          <w:rFonts w:ascii="MyriadPro-Cond" w:eastAsia="MyriadPro-Cond" w:cs="MyriadPro-Cond"/>
        </w:rPr>
      </w:pPr>
      <w:r>
        <w:rPr>
          <w:b/>
        </w:rPr>
        <w:t>Measurement frequency:</w:t>
      </w:r>
      <w:r>
        <w:t xml:space="preserve"> Annual.</w:t>
      </w:r>
    </w:p>
    <w:p w14:paraId="3CC777FC" w14:textId="77777777" w:rsidR="007902A5" w:rsidRDefault="007902A5" w:rsidP="007902A5">
      <w:r>
        <w:rPr>
          <w:b/>
        </w:rPr>
        <w:t>Monitoring and evaluation framework:</w:t>
      </w:r>
      <w:r>
        <w:t xml:space="preserve"> Outcome.</w:t>
      </w:r>
    </w:p>
    <w:p w14:paraId="4B52C667" w14:textId="77777777" w:rsidR="007902A5" w:rsidRDefault="007902A5" w:rsidP="007902A5">
      <w:r>
        <w:rPr>
          <w:b/>
        </w:rPr>
        <w:t>Preferred data sources:</w:t>
      </w:r>
      <w:r>
        <w:t xml:space="preserve"> WHO Global Tuberculosis Report.</w:t>
      </w:r>
    </w:p>
    <w:p w14:paraId="227B43D9" w14:textId="77777777" w:rsidR="007902A5" w:rsidRDefault="007902A5" w:rsidP="007902A5">
      <w:pPr>
        <w:rPr>
          <w:b/>
        </w:rPr>
      </w:pPr>
    </w:p>
    <w:p w14:paraId="6DE69CDE" w14:textId="77777777" w:rsidR="007902A5" w:rsidRDefault="007902A5" w:rsidP="007902A5">
      <w:pPr>
        <w:rPr>
          <w:b/>
        </w:rPr>
      </w:pPr>
    </w:p>
    <w:p w14:paraId="431CE3F7" w14:textId="77777777" w:rsidR="007902A5" w:rsidRDefault="007902A5" w:rsidP="007902A5">
      <w:pPr>
        <w:rPr>
          <w:b/>
        </w:rPr>
      </w:pPr>
    </w:p>
    <w:p w14:paraId="46624330" w14:textId="6FCD5A49" w:rsidR="007902A5" w:rsidRDefault="007902A5" w:rsidP="007902A5">
      <w:pPr>
        <w:rPr>
          <w:b/>
        </w:rPr>
      </w:pPr>
    </w:p>
    <w:p w14:paraId="340D9D54" w14:textId="77777777" w:rsidR="007F6EAE" w:rsidRDefault="007F6EAE" w:rsidP="007902A5">
      <w:pPr>
        <w:rPr>
          <w:b/>
        </w:rPr>
      </w:pPr>
    </w:p>
    <w:p w14:paraId="42B854B7" w14:textId="77777777" w:rsidR="007902A5" w:rsidRDefault="007902A5" w:rsidP="007902A5">
      <w:pPr>
        <w:rPr>
          <w:b/>
        </w:rPr>
      </w:pPr>
    </w:p>
    <w:p w14:paraId="3496C6E0" w14:textId="77777777" w:rsidR="007902A5" w:rsidRDefault="007902A5" w:rsidP="007902A5">
      <w:pPr>
        <w:rPr>
          <w:b/>
        </w:rPr>
      </w:pPr>
    </w:p>
    <w:p w14:paraId="1758436A" w14:textId="77777777" w:rsidR="007902A5" w:rsidRDefault="007902A5" w:rsidP="007902A5">
      <w:pPr>
        <w:rPr>
          <w:b/>
        </w:rPr>
      </w:pPr>
    </w:p>
    <w:p w14:paraId="301EEA4A" w14:textId="77777777" w:rsidR="007902A5" w:rsidRDefault="007902A5" w:rsidP="007902A5">
      <w:pPr>
        <w:rPr>
          <w:b/>
        </w:rPr>
      </w:pPr>
    </w:p>
    <w:p w14:paraId="2D0ED5E0" w14:textId="77777777" w:rsidR="007902A5" w:rsidRDefault="007902A5" w:rsidP="007902A5">
      <w:pPr>
        <w:rPr>
          <w:b/>
        </w:rPr>
      </w:pPr>
    </w:p>
    <w:p w14:paraId="2D2FC6AC" w14:textId="77777777" w:rsidR="007902A5" w:rsidRDefault="007902A5" w:rsidP="007902A5">
      <w:pPr>
        <w:rPr>
          <w:b/>
        </w:rPr>
      </w:pPr>
    </w:p>
    <w:p w14:paraId="1CE5753A" w14:textId="77777777" w:rsidR="007902A5" w:rsidRDefault="007902A5" w:rsidP="007902A5">
      <w:pPr>
        <w:rPr>
          <w:b/>
        </w:rPr>
      </w:pPr>
    </w:p>
    <w:p w14:paraId="29CEE326" w14:textId="77777777" w:rsidR="007902A5" w:rsidRDefault="007902A5" w:rsidP="007902A5">
      <w:pPr>
        <w:rPr>
          <w:b/>
        </w:rPr>
      </w:pPr>
    </w:p>
    <w:p w14:paraId="43FE29B0" w14:textId="5CF2807A" w:rsidR="007902A5" w:rsidRDefault="007902A5" w:rsidP="007902A5">
      <w:pPr>
        <w:rPr>
          <w:b/>
          <w:i/>
          <w:iCs/>
          <w:color w:val="C00000"/>
          <w:sz w:val="24"/>
          <w:szCs w:val="24"/>
          <w:u w:val="single"/>
        </w:rPr>
      </w:pPr>
    </w:p>
    <w:p w14:paraId="089226C3" w14:textId="77777777" w:rsidR="007902A5" w:rsidRPr="003B6F6E" w:rsidRDefault="007902A5" w:rsidP="007902A5">
      <w:pPr>
        <w:rPr>
          <w:u w:val="single"/>
        </w:rPr>
      </w:pPr>
      <w:r w:rsidRPr="003B6F6E">
        <w:rPr>
          <w:b/>
          <w:u w:val="single"/>
        </w:rPr>
        <w:t xml:space="preserve">18. </w:t>
      </w:r>
      <w:r w:rsidRPr="009516AC">
        <w:rPr>
          <w:u w:val="single"/>
        </w:rPr>
        <w:t>EC hepatitis C virus treatment</w:t>
      </w:r>
      <w:r>
        <w:rPr>
          <w:u w:val="single"/>
        </w:rPr>
        <w:t xml:space="preserve">. </w:t>
      </w:r>
    </w:p>
    <w:p w14:paraId="69E5AC27" w14:textId="77777777" w:rsidR="007902A5" w:rsidRDefault="007902A5" w:rsidP="007902A5">
      <w:pPr>
        <w:rPr>
          <w:rFonts w:ascii="MyriadPro-Cond" w:eastAsia="MyriadPro-Cond" w:cs="MyriadPro-Cond"/>
        </w:rPr>
      </w:pPr>
      <w:r>
        <w:rPr>
          <w:b/>
        </w:rPr>
        <w:t>Domain of Global Reference List:</w:t>
      </w:r>
      <w:r>
        <w:t xml:space="preserve"> Service coverage</w:t>
      </w:r>
    </w:p>
    <w:p w14:paraId="2B0A3F8B" w14:textId="77777777" w:rsidR="007902A5" w:rsidRDefault="007902A5" w:rsidP="007902A5">
      <w:pPr>
        <w:rPr>
          <w:b/>
        </w:rPr>
      </w:pPr>
      <w:r>
        <w:rPr>
          <w:b/>
        </w:rPr>
        <w:t>Rationale:</w:t>
      </w:r>
      <w:r>
        <w:t xml:space="preserve"> Treatment of HCV infection is a high impact, cost-effective of cost saving intervention that meets the criteria to be a tracer indicator for UHC implementation.</w:t>
      </w:r>
    </w:p>
    <w:p w14:paraId="43347623" w14:textId="77777777" w:rsidR="007902A5" w:rsidRPr="001203B0" w:rsidRDefault="007902A5" w:rsidP="007902A5">
      <w:r>
        <w:rPr>
          <w:b/>
        </w:rPr>
        <w:t>Numerator:</w:t>
      </w:r>
      <w:r>
        <w:t xml:space="preserve"> </w:t>
      </w:r>
      <w:r w:rsidRPr="009516AC">
        <w:t>number of persons who were started on direct-acting antiviral treatment (during the particular year)</w:t>
      </w:r>
      <w:r>
        <w:t>.</w:t>
      </w:r>
    </w:p>
    <w:p w14:paraId="4EA4F0DC" w14:textId="77777777" w:rsidR="007902A5" w:rsidRPr="00D75793" w:rsidRDefault="007902A5" w:rsidP="007902A5">
      <w:r>
        <w:rPr>
          <w:b/>
        </w:rPr>
        <w:t xml:space="preserve">Denominator: </w:t>
      </w:r>
      <w:r w:rsidRPr="009516AC">
        <w:t>number of people diagnosed with chronic HCV infection</w:t>
      </w:r>
      <w:r>
        <w:t>.</w:t>
      </w:r>
    </w:p>
    <w:p w14:paraId="28B90117" w14:textId="77777777" w:rsidR="007902A5" w:rsidRPr="001E6F93" w:rsidRDefault="007902A5" w:rsidP="007902A5">
      <w:r>
        <w:rPr>
          <w:b/>
        </w:rPr>
        <w:t xml:space="preserve">Case definition: </w:t>
      </w:r>
      <w:r>
        <w:t>HCV infection is defined as positive for HCV RNA or positivity for HCV Ag.</w:t>
      </w:r>
    </w:p>
    <w:p w14:paraId="5C6B88AD" w14:textId="77777777" w:rsidR="007902A5" w:rsidRPr="00B872EB" w:rsidRDefault="007902A5" w:rsidP="007902A5">
      <w:r>
        <w:rPr>
          <w:b/>
        </w:rPr>
        <w:t xml:space="preserve">Method of measurement: </w:t>
      </w:r>
      <w:r w:rsidRPr="00960E46">
        <w:rPr>
          <w:bCs/>
        </w:rPr>
        <w:t>Reporting</w:t>
      </w:r>
      <w:r>
        <w:rPr>
          <w:b/>
        </w:rPr>
        <w:t xml:space="preserve"> </w:t>
      </w:r>
      <w:r w:rsidRPr="00960E46">
        <w:rPr>
          <w:bCs/>
        </w:rPr>
        <w:t>from</w:t>
      </w:r>
      <w:r>
        <w:rPr>
          <w:bCs/>
        </w:rPr>
        <w:t xml:space="preserve"> treatment centres, either using individual databases or aggregated reporting in the District Health Information System 2 software. </w:t>
      </w:r>
    </w:p>
    <w:p w14:paraId="24672CF7" w14:textId="77777777" w:rsidR="007902A5" w:rsidRDefault="007902A5" w:rsidP="007902A5">
      <w:pPr>
        <w:rPr>
          <w:rFonts w:ascii="MyriadPro-Cond" w:eastAsia="MyriadPro-Cond" w:cs="MyriadPro-Cond"/>
        </w:rPr>
      </w:pPr>
      <w:r>
        <w:rPr>
          <w:b/>
        </w:rPr>
        <w:t>Measurement frequency:</w:t>
      </w:r>
      <w:r>
        <w:t xml:space="preserve"> Quarterly at the national level, and annually to WHO using the Global Reporting System for Hepatitis (GRSH) </w:t>
      </w:r>
      <w:hyperlink r:id="rId24" w:history="1">
        <w:r w:rsidRPr="009F547F">
          <w:rPr>
            <w:rStyle w:val="Hyperlink"/>
          </w:rPr>
          <w:t>https://www.who.int/hepatitis/reporting-database/en/</w:t>
        </w:r>
      </w:hyperlink>
      <w:r>
        <w:t xml:space="preserve"> .</w:t>
      </w:r>
    </w:p>
    <w:p w14:paraId="2534CA96" w14:textId="77777777" w:rsidR="007902A5" w:rsidRDefault="007902A5" w:rsidP="007902A5">
      <w:r>
        <w:rPr>
          <w:b/>
        </w:rPr>
        <w:t>Monitoring and evaluation framework:</w:t>
      </w:r>
      <w:r>
        <w:t xml:space="preserve"> Outcome.</w:t>
      </w:r>
    </w:p>
    <w:p w14:paraId="754CA193" w14:textId="77777777" w:rsidR="007902A5" w:rsidRDefault="007902A5" w:rsidP="007902A5">
      <w:pPr>
        <w:rPr>
          <w:rFonts w:ascii="MyriadPro-Cond" w:eastAsia="MyriadPro-Cond" w:cs="MyriadPro-Cond"/>
        </w:rPr>
      </w:pPr>
      <w:r>
        <w:rPr>
          <w:b/>
        </w:rPr>
        <w:t>Preferred data sources:</w:t>
      </w:r>
      <w:r>
        <w:t xml:space="preserve"> Health care facility records captured in the Health Management Information System.</w:t>
      </w:r>
    </w:p>
    <w:p w14:paraId="17DF7060" w14:textId="5244B221" w:rsidR="007902A5" w:rsidRPr="00610D00" w:rsidRDefault="007902A5" w:rsidP="007902A5">
      <w:r w:rsidRPr="008A4643">
        <w:rPr>
          <w:b/>
        </w:rPr>
        <w:t>Limitations</w:t>
      </w:r>
      <w:r>
        <w:rPr>
          <w:b/>
        </w:rPr>
        <w:t xml:space="preserve">: </w:t>
      </w:r>
      <w:r w:rsidRPr="009C07FB">
        <w:rPr>
          <w:bCs/>
        </w:rPr>
        <w:t xml:space="preserve">Data from the private sector may be </w:t>
      </w:r>
      <w:r w:rsidR="007F6EAE">
        <w:rPr>
          <w:bCs/>
        </w:rPr>
        <w:t>difficult</w:t>
      </w:r>
      <w:r w:rsidRPr="009C07FB">
        <w:rPr>
          <w:bCs/>
        </w:rPr>
        <w:t xml:space="preserve"> to capture at the early stage of a programme</w:t>
      </w:r>
      <w:r>
        <w:rPr>
          <w:bCs/>
        </w:rPr>
        <w:t xml:space="preserve">. If DHIS2 I used, the </w:t>
      </w:r>
      <w:r w:rsidR="007F6EAE">
        <w:rPr>
          <w:bCs/>
        </w:rPr>
        <w:t>public-sector</w:t>
      </w:r>
      <w:r>
        <w:rPr>
          <w:bCs/>
        </w:rPr>
        <w:t xml:space="preserve"> reporting system may provide login credentials to private sector partners to make sure treatment is reported along with the public</w:t>
      </w:r>
      <w:r w:rsidR="007F6EAE">
        <w:rPr>
          <w:bCs/>
        </w:rPr>
        <w:t>-</w:t>
      </w:r>
      <w:r>
        <w:rPr>
          <w:bCs/>
        </w:rPr>
        <w:t>sector data.</w:t>
      </w:r>
    </w:p>
    <w:p w14:paraId="71E6E2F8" w14:textId="77777777" w:rsidR="007902A5" w:rsidRDefault="007902A5" w:rsidP="007902A5">
      <w:pPr>
        <w:rPr>
          <w:b/>
          <w:i/>
          <w:iCs/>
          <w:color w:val="C00000"/>
          <w:sz w:val="24"/>
          <w:szCs w:val="24"/>
          <w:u w:val="single"/>
        </w:rPr>
      </w:pPr>
    </w:p>
    <w:p w14:paraId="3C48C38F" w14:textId="77777777" w:rsidR="00743774" w:rsidRDefault="00743774" w:rsidP="00743774">
      <w:pPr>
        <w:rPr>
          <w:b/>
          <w:u w:val="single"/>
        </w:rPr>
      </w:pPr>
    </w:p>
    <w:p w14:paraId="4E8329CD" w14:textId="77777777" w:rsidR="00743774" w:rsidRDefault="00743774" w:rsidP="00743774">
      <w:pPr>
        <w:rPr>
          <w:b/>
          <w:u w:val="single"/>
        </w:rPr>
      </w:pPr>
    </w:p>
    <w:p w14:paraId="18E78A0C" w14:textId="77777777" w:rsidR="00743774" w:rsidRDefault="00743774" w:rsidP="00743774">
      <w:pPr>
        <w:rPr>
          <w:b/>
          <w:u w:val="single"/>
        </w:rPr>
      </w:pPr>
    </w:p>
    <w:p w14:paraId="05A7A968" w14:textId="77777777" w:rsidR="00743774" w:rsidRDefault="00743774" w:rsidP="00743774">
      <w:pPr>
        <w:rPr>
          <w:b/>
          <w:u w:val="single"/>
        </w:rPr>
      </w:pPr>
    </w:p>
    <w:p w14:paraId="0C1AB35B" w14:textId="77777777" w:rsidR="00743774" w:rsidRDefault="00743774" w:rsidP="00743774">
      <w:pPr>
        <w:rPr>
          <w:b/>
          <w:u w:val="single"/>
        </w:rPr>
      </w:pPr>
    </w:p>
    <w:p w14:paraId="775F62DA" w14:textId="77777777" w:rsidR="00743774" w:rsidRDefault="00743774" w:rsidP="00743774">
      <w:pPr>
        <w:rPr>
          <w:b/>
          <w:u w:val="single"/>
        </w:rPr>
      </w:pPr>
    </w:p>
    <w:p w14:paraId="21603943" w14:textId="77777777" w:rsidR="00743774" w:rsidRDefault="00743774" w:rsidP="00743774">
      <w:pPr>
        <w:rPr>
          <w:b/>
          <w:u w:val="single"/>
        </w:rPr>
      </w:pPr>
    </w:p>
    <w:p w14:paraId="038180C2" w14:textId="77777777" w:rsidR="00743774" w:rsidRDefault="00743774" w:rsidP="00743774">
      <w:pPr>
        <w:rPr>
          <w:b/>
          <w:u w:val="single"/>
        </w:rPr>
      </w:pPr>
    </w:p>
    <w:p w14:paraId="1A35358C" w14:textId="77777777" w:rsidR="00743774" w:rsidRDefault="00743774" w:rsidP="00743774">
      <w:pPr>
        <w:rPr>
          <w:b/>
          <w:u w:val="single"/>
        </w:rPr>
      </w:pPr>
    </w:p>
    <w:p w14:paraId="4CE48CCE" w14:textId="350F1C3D" w:rsidR="00743774" w:rsidRPr="00F32DF0" w:rsidRDefault="00743774" w:rsidP="00743774">
      <w:pPr>
        <w:rPr>
          <w:b/>
          <w:sz w:val="24"/>
          <w:u w:val="single"/>
        </w:rPr>
      </w:pPr>
      <w:r>
        <w:rPr>
          <w:b/>
          <w:u w:val="single"/>
        </w:rPr>
        <w:t>1</w:t>
      </w:r>
      <w:r w:rsidRPr="00743774">
        <w:rPr>
          <w:b/>
          <w:u w:val="single"/>
        </w:rPr>
        <w:t xml:space="preserve">9. </w:t>
      </w:r>
      <w:r w:rsidRPr="00743774">
        <w:rPr>
          <w:bCs/>
          <w:u w:val="single"/>
        </w:rPr>
        <w:t>EC perinatal care</w:t>
      </w:r>
      <w:r>
        <w:rPr>
          <w:bCs/>
          <w:u w:val="single"/>
        </w:rPr>
        <w:t>.</w:t>
      </w:r>
    </w:p>
    <w:p w14:paraId="76FA95DF" w14:textId="77777777" w:rsidR="00743774" w:rsidRDefault="00743774" w:rsidP="00743774">
      <w:r>
        <w:rPr>
          <w:b/>
        </w:rPr>
        <w:t>Domain of global reference list:</w:t>
      </w:r>
      <w:r>
        <w:t xml:space="preserve"> Service Coverage. </w:t>
      </w:r>
    </w:p>
    <w:p w14:paraId="78DF76CF" w14:textId="77777777" w:rsidR="00743774" w:rsidRDefault="00743774" w:rsidP="00743774">
      <w:r w:rsidRPr="00DE410D">
        <w:rPr>
          <w:b/>
          <w:bCs/>
        </w:rPr>
        <w:t>Proxy:</w:t>
      </w:r>
      <w:r>
        <w:t xml:space="preserve"> </w:t>
      </w:r>
      <w:r w:rsidRPr="00743774">
        <w:t>proxied using stillbirths.</w:t>
      </w:r>
    </w:p>
    <w:p w14:paraId="72D09FF4" w14:textId="12AB2E24" w:rsidR="00743774" w:rsidRDefault="00743774" w:rsidP="00743774">
      <w:pPr>
        <w:rPr>
          <w:b/>
        </w:rPr>
      </w:pPr>
      <w:r>
        <w:rPr>
          <w:b/>
        </w:rPr>
        <w:t>Rationale:</w:t>
      </w:r>
      <w:r>
        <w:t xml:space="preserve"> It is a tracer indicator, and an important measure of safe pregnancies  </w:t>
      </w:r>
    </w:p>
    <w:p w14:paraId="48954E39" w14:textId="15EC08C4" w:rsidR="00743774" w:rsidRDefault="00743774" w:rsidP="00743774">
      <w:r>
        <w:rPr>
          <w:b/>
        </w:rPr>
        <w:t>Numerator:</w:t>
      </w:r>
      <w:r>
        <w:t xml:space="preserve"> </w:t>
      </w:r>
      <w:r w:rsidRPr="00743774">
        <w:rPr>
          <w:rFonts w:hint="eastAsia"/>
        </w:rPr>
        <w:t xml:space="preserve">number of fetuses and infants born with no sign of life and weighing </w:t>
      </w:r>
      <w:r w:rsidRPr="00743774">
        <w:rPr>
          <w:rFonts w:hint="eastAsia"/>
        </w:rPr>
        <w:t>≥</w:t>
      </w:r>
      <w:r w:rsidRPr="00743774">
        <w:rPr>
          <w:rFonts w:hint="eastAsia"/>
        </w:rPr>
        <w:t xml:space="preserve">1000 g, or if data on weight are missing, </w:t>
      </w:r>
      <w:r w:rsidRPr="00743774">
        <w:rPr>
          <w:rFonts w:hint="eastAsia"/>
        </w:rPr>
        <w:t>≥</w:t>
      </w:r>
      <w:r w:rsidRPr="00743774">
        <w:rPr>
          <w:rFonts w:hint="eastAsia"/>
        </w:rPr>
        <w:t xml:space="preserve">28 completed weeks of gestation, or if data on duration of gestation are missing, body length </w:t>
      </w:r>
      <w:r w:rsidRPr="00743774">
        <w:rPr>
          <w:rFonts w:hint="eastAsia"/>
        </w:rPr>
        <w:t>≥</w:t>
      </w:r>
      <w:r w:rsidRPr="00743774">
        <w:rPr>
          <w:rFonts w:hint="eastAsia"/>
        </w:rPr>
        <w:t>35 cm</w:t>
      </w:r>
    </w:p>
    <w:p w14:paraId="22E6C0D8" w14:textId="056D567B" w:rsidR="00743774" w:rsidRDefault="00743774" w:rsidP="00743774">
      <w:r>
        <w:rPr>
          <w:b/>
        </w:rPr>
        <w:t xml:space="preserve">Denominator: </w:t>
      </w:r>
      <w:r w:rsidRPr="00743774">
        <w:t>total number of births (live and stillbirths) (Expressed per 1000 total births)</w:t>
      </w:r>
      <w:r>
        <w:t xml:space="preserve"> </w:t>
      </w:r>
    </w:p>
    <w:p w14:paraId="62ED0D27" w14:textId="7256FECF" w:rsidR="00743774" w:rsidRPr="00743774" w:rsidRDefault="00743774" w:rsidP="00743774">
      <w:pPr>
        <w:pStyle w:val="NormalWeb"/>
        <w:shd w:val="clear" w:color="auto" w:fill="FFFFFF"/>
        <w:spacing w:before="166" w:beforeAutospacing="0" w:after="166" w:afterAutospacing="0"/>
        <w:rPr>
          <w:rFonts w:asciiTheme="minorHAnsi" w:eastAsiaTheme="minorEastAsia" w:hAnsiTheme="minorHAnsi" w:cstheme="minorBidi"/>
          <w:sz w:val="22"/>
          <w:szCs w:val="22"/>
          <w:lang w:val="en-GB"/>
        </w:rPr>
      </w:pPr>
      <w:r w:rsidRPr="00743774">
        <w:rPr>
          <w:rFonts w:asciiTheme="minorHAnsi" w:eastAsiaTheme="minorEastAsia" w:hAnsiTheme="minorHAnsi" w:cstheme="minorBidi"/>
          <w:b/>
          <w:sz w:val="22"/>
          <w:szCs w:val="22"/>
          <w:lang w:val="en-GB"/>
        </w:rPr>
        <w:t>Case definition:</w:t>
      </w:r>
      <w:r>
        <w:rPr>
          <w:b/>
        </w:rPr>
        <w:t xml:space="preserve">  </w:t>
      </w:r>
      <w:r w:rsidRPr="00743774">
        <w:rPr>
          <w:rFonts w:asciiTheme="minorHAnsi" w:eastAsiaTheme="minorEastAsia" w:hAnsiTheme="minorHAnsi" w:cstheme="minorBidi"/>
          <w:sz w:val="22"/>
          <w:szCs w:val="22"/>
          <w:lang w:val="en-GB"/>
        </w:rPr>
        <w:t xml:space="preserve">Regarding perinatal conditions, for which interventions can be directed to the baby through the mother during pregnancy or delivery. </w:t>
      </w:r>
    </w:p>
    <w:p w14:paraId="0980D3AC" w14:textId="0E7A41F7" w:rsidR="00743774" w:rsidRPr="00743774" w:rsidRDefault="00743774" w:rsidP="00743774">
      <w:pPr>
        <w:pStyle w:val="NormalWeb"/>
        <w:shd w:val="clear" w:color="auto" w:fill="FFFFFF"/>
        <w:spacing w:before="166" w:beforeAutospacing="0" w:after="166" w:afterAutospacing="0"/>
        <w:rPr>
          <w:rFonts w:asciiTheme="minorHAnsi" w:eastAsiaTheme="minorEastAsia" w:hAnsiTheme="minorHAnsi" w:cstheme="minorBidi"/>
          <w:sz w:val="22"/>
          <w:szCs w:val="22"/>
          <w:lang w:val="en-GB"/>
        </w:rPr>
      </w:pPr>
      <w:r w:rsidRPr="00743774">
        <w:rPr>
          <w:rFonts w:asciiTheme="minorHAnsi" w:eastAsiaTheme="minorEastAsia" w:hAnsiTheme="minorHAnsi" w:cstheme="minorBidi"/>
          <w:sz w:val="22"/>
          <w:szCs w:val="22"/>
          <w:lang w:val="en-GB"/>
        </w:rPr>
        <w:t>Formal definitions of perinatal conditions tend to vary by data source. Taken literally, they refer to conditions that arise in the perinatal period (</w:t>
      </w:r>
      <w:hyperlink r:id="rId25" w:history="1">
        <w:r w:rsidRPr="00743774">
          <w:rPr>
            <w:rFonts w:asciiTheme="minorHAnsi" w:eastAsiaTheme="minorEastAsia" w:hAnsiTheme="minorHAnsi" w:cstheme="minorBidi"/>
            <w:sz w:val="22"/>
            <w:szCs w:val="22"/>
            <w:lang w:val="en-GB"/>
          </w:rPr>
          <w:t>Murray and Lopez 1998</w:t>
        </w:r>
      </w:hyperlink>
      <w:r w:rsidRPr="00743774">
        <w:rPr>
          <w:rFonts w:asciiTheme="minorHAnsi" w:eastAsiaTheme="minorEastAsia" w:hAnsiTheme="minorHAnsi" w:cstheme="minorBidi"/>
          <w:sz w:val="22"/>
          <w:szCs w:val="22"/>
          <w:lang w:val="en-GB"/>
        </w:rPr>
        <w:t>), which are not the same as events that occur in the perinatal period—that is, from 28 weeks of gestation to the end of the seventh day of life. For example, death resulting from conditions that arise in the perinatal period can happen at any age, although it tends to take place during the neonatal period (up to 28 days of life). By contrast, perinatal deaths include both stillborn babies and those who are born alive but die before the end of the seventh day. Early neonatal deaths only include live births.</w:t>
      </w:r>
    </w:p>
    <w:p w14:paraId="2E451F9D" w14:textId="77777777" w:rsidR="00743774" w:rsidRPr="00ED1391" w:rsidRDefault="00743774" w:rsidP="00743774">
      <w:r>
        <w:rPr>
          <w:b/>
        </w:rPr>
        <w:t xml:space="preserve">Method of measurement: </w:t>
      </w:r>
    </w:p>
    <w:p w14:paraId="2CDA915E" w14:textId="77777777" w:rsidR="00743774" w:rsidRDefault="00743774" w:rsidP="00743774">
      <w:pPr>
        <w:rPr>
          <w:rFonts w:ascii="MyriadPro-Cond" w:eastAsia="MyriadPro-Cond" w:cs="MyriadPro-Cond"/>
        </w:rPr>
      </w:pPr>
      <w:r>
        <w:rPr>
          <w:b/>
        </w:rPr>
        <w:t>Measurement frequency:</w:t>
      </w:r>
      <w:r>
        <w:t xml:space="preserve"> as reported by the countries </w:t>
      </w:r>
    </w:p>
    <w:p w14:paraId="580799FD" w14:textId="77777777" w:rsidR="00743774" w:rsidRDefault="00743774" w:rsidP="00743774">
      <w:r>
        <w:rPr>
          <w:b/>
        </w:rPr>
        <w:t>Monitoring and evaluation framework:</w:t>
      </w:r>
      <w:r>
        <w:t xml:space="preserve"> Outcome.</w:t>
      </w:r>
    </w:p>
    <w:p w14:paraId="36AB6CC2" w14:textId="7BB024AA" w:rsidR="00743774" w:rsidRPr="00743774" w:rsidRDefault="00743774" w:rsidP="00743774">
      <w:r>
        <w:rPr>
          <w:b/>
        </w:rPr>
        <w:t>Preferred data sources:</w:t>
      </w:r>
      <w:r w:rsidRPr="00DE410D">
        <w:t xml:space="preserve"> </w:t>
      </w:r>
      <w:r>
        <w:t>Civil registration and vital statistics (CRVS) systems, population statistics, national health management information systems (HMIS), and birth registries; nationally representative surveys including DHS and RHS; and subnational data sources including population-based studies (</w:t>
      </w:r>
      <w:r w:rsidR="007F6EAE">
        <w:t>e.g.</w:t>
      </w:r>
      <w:r>
        <w:t>, from demographic surveillance sites or research studies), and facility-based data </w:t>
      </w:r>
    </w:p>
    <w:p w14:paraId="69780CE4" w14:textId="30726E69" w:rsidR="00743774" w:rsidRPr="00610D00" w:rsidRDefault="00743774" w:rsidP="00743774"/>
    <w:p w14:paraId="70AEBDC5" w14:textId="77777777" w:rsidR="007902A5" w:rsidRDefault="007902A5" w:rsidP="007902A5">
      <w:pPr>
        <w:rPr>
          <w:b/>
          <w:i/>
          <w:iCs/>
          <w:color w:val="C00000"/>
          <w:sz w:val="24"/>
          <w:szCs w:val="24"/>
          <w:u w:val="single"/>
        </w:rPr>
      </w:pPr>
    </w:p>
    <w:p w14:paraId="7AB318D0" w14:textId="77777777" w:rsidR="007902A5" w:rsidRDefault="007902A5" w:rsidP="007902A5">
      <w:pPr>
        <w:rPr>
          <w:b/>
          <w:i/>
          <w:iCs/>
          <w:color w:val="C00000"/>
          <w:sz w:val="24"/>
          <w:szCs w:val="24"/>
          <w:u w:val="single"/>
        </w:rPr>
      </w:pPr>
    </w:p>
    <w:p w14:paraId="43CBD348" w14:textId="77777777" w:rsidR="007902A5" w:rsidRDefault="007902A5" w:rsidP="007902A5">
      <w:pPr>
        <w:rPr>
          <w:b/>
          <w:i/>
          <w:iCs/>
          <w:color w:val="C00000"/>
          <w:sz w:val="24"/>
          <w:szCs w:val="24"/>
          <w:u w:val="single"/>
        </w:rPr>
      </w:pPr>
    </w:p>
    <w:p w14:paraId="7D754466" w14:textId="77777777" w:rsidR="007902A5" w:rsidRDefault="007902A5" w:rsidP="007902A5">
      <w:pPr>
        <w:rPr>
          <w:b/>
          <w:i/>
          <w:iCs/>
          <w:color w:val="C00000"/>
          <w:sz w:val="24"/>
          <w:szCs w:val="24"/>
          <w:u w:val="single"/>
        </w:rPr>
      </w:pPr>
    </w:p>
    <w:p w14:paraId="2B31E821" w14:textId="77777777" w:rsidR="007902A5" w:rsidRDefault="007902A5" w:rsidP="007902A5">
      <w:pPr>
        <w:rPr>
          <w:b/>
          <w:i/>
          <w:iCs/>
          <w:color w:val="C00000"/>
          <w:sz w:val="24"/>
          <w:szCs w:val="24"/>
          <w:u w:val="single"/>
        </w:rPr>
      </w:pPr>
    </w:p>
    <w:p w14:paraId="7735BA4F" w14:textId="77777777" w:rsidR="007902A5" w:rsidRPr="002554F5" w:rsidRDefault="007902A5" w:rsidP="007902A5">
      <w:pPr>
        <w:rPr>
          <w:b/>
          <w:i/>
          <w:iCs/>
          <w:color w:val="C00000"/>
          <w:sz w:val="24"/>
          <w:szCs w:val="24"/>
          <w:u w:val="single"/>
        </w:rPr>
      </w:pPr>
      <w:r w:rsidRPr="00CE2032">
        <w:rPr>
          <w:b/>
          <w:i/>
          <w:iCs/>
          <w:color w:val="C00000"/>
          <w:sz w:val="24"/>
          <w:szCs w:val="24"/>
          <w:u w:val="single"/>
        </w:rPr>
        <w:t xml:space="preserve">Treatment of </w:t>
      </w:r>
      <w:r>
        <w:rPr>
          <w:b/>
          <w:i/>
          <w:iCs/>
          <w:color w:val="C00000"/>
          <w:sz w:val="24"/>
          <w:szCs w:val="24"/>
          <w:u w:val="single"/>
        </w:rPr>
        <w:t>non-communicable diseases and injuries</w:t>
      </w:r>
    </w:p>
    <w:p w14:paraId="63395EB6" w14:textId="77777777" w:rsidR="007902A5" w:rsidRPr="00CE2032" w:rsidRDefault="007902A5" w:rsidP="007902A5">
      <w:pPr>
        <w:rPr>
          <w:u w:val="single"/>
        </w:rPr>
      </w:pPr>
      <w:r>
        <w:rPr>
          <w:b/>
          <w:u w:val="single"/>
        </w:rPr>
        <w:t xml:space="preserve">20. </w:t>
      </w:r>
      <w:r w:rsidRPr="009516AC">
        <w:rPr>
          <w:u w:val="single"/>
        </w:rPr>
        <w:t>EC congenital heart disease treatment</w:t>
      </w:r>
      <w:r w:rsidRPr="00CE2032">
        <w:rPr>
          <w:u w:val="single"/>
        </w:rPr>
        <w:t>.</w:t>
      </w:r>
    </w:p>
    <w:p w14:paraId="2AF34941" w14:textId="77777777" w:rsidR="007902A5" w:rsidRDefault="007902A5" w:rsidP="007902A5">
      <w:pPr>
        <w:rPr>
          <w:rFonts w:ascii="MyriadPro-Cond" w:eastAsia="MyriadPro-Cond" w:cs="MyriadPro-Cond"/>
        </w:rPr>
      </w:pPr>
      <w:r>
        <w:rPr>
          <w:b/>
        </w:rPr>
        <w:t>Domain of Global Reference List:</w:t>
      </w:r>
      <w:r>
        <w:t xml:space="preserve"> Service coverage.</w:t>
      </w:r>
    </w:p>
    <w:p w14:paraId="524E13FC" w14:textId="77777777" w:rsidR="007902A5" w:rsidRDefault="007902A5" w:rsidP="007902A5">
      <w:pPr>
        <w:rPr>
          <w:b/>
        </w:rPr>
      </w:pPr>
      <w:r>
        <w:rPr>
          <w:b/>
        </w:rPr>
        <w:t>Rationale:</w:t>
      </w:r>
      <w:r>
        <w:t xml:space="preserve"> It is a tracer indicator. The case-fatality rate due to congenital heart disease is a marker of access to and quality of health services for non-communicable diseases among children under the age of 5.</w:t>
      </w:r>
    </w:p>
    <w:p w14:paraId="18618E6E" w14:textId="77777777" w:rsidR="007902A5" w:rsidRDefault="007902A5" w:rsidP="007902A5">
      <w:r>
        <w:rPr>
          <w:b/>
        </w:rPr>
        <w:t>Numerator:</w:t>
      </w:r>
      <w:r>
        <w:t xml:space="preserve"> </w:t>
      </w:r>
      <w:r w:rsidRPr="009516AC">
        <w:t>number of deaths due to congenital heart disease</w:t>
      </w:r>
      <w:r>
        <w:t>.</w:t>
      </w:r>
    </w:p>
    <w:p w14:paraId="71A1CA4E" w14:textId="77777777" w:rsidR="007902A5" w:rsidRPr="00D75793" w:rsidRDefault="007902A5" w:rsidP="007902A5">
      <w:r>
        <w:rPr>
          <w:b/>
        </w:rPr>
        <w:t xml:space="preserve">Denominator: </w:t>
      </w:r>
      <w:r w:rsidRPr="00A067FF">
        <w:t>prevalence of congenital heart disease</w:t>
      </w:r>
      <w:r>
        <w:t>.</w:t>
      </w:r>
    </w:p>
    <w:p w14:paraId="66DB02F3" w14:textId="77777777" w:rsidR="007902A5" w:rsidRPr="00DB1D8D" w:rsidRDefault="007902A5" w:rsidP="007902A5">
      <w:pPr>
        <w:rPr>
          <w:b/>
        </w:rPr>
      </w:pPr>
      <w:r>
        <w:rPr>
          <w:b/>
        </w:rPr>
        <w:t>Case definition: C</w:t>
      </w:r>
      <w:r w:rsidRPr="00852353">
        <w:t xml:space="preserve">ongenital heart anomalies were split into five-sub categories based on both the anatomical characteristics and the treatment requirements of each condition. </w:t>
      </w:r>
    </w:p>
    <w:p w14:paraId="7B0D24C7" w14:textId="77777777" w:rsidR="007902A5" w:rsidRPr="00852353" w:rsidRDefault="007902A5" w:rsidP="007902A5">
      <w:pPr>
        <w:autoSpaceDE w:val="0"/>
        <w:autoSpaceDN w:val="0"/>
        <w:adjustRightInd w:val="0"/>
        <w:spacing w:after="0" w:line="240" w:lineRule="auto"/>
      </w:pPr>
      <w:r w:rsidRPr="00852353">
        <w:t>The first sub-cause category, single ventricle and single ventricle pathway defects include tricuspid atresia, hypoplastic left heart syndrome, mitral valve atresia, single left ventricle, double outlet right ventricle, and pulmonary atresia; the corresponding ICD-10 codes are Q20.1, Q20.2, Q20.4, Q22.4, Q22.6 and Q23.4. Each of the single ventricle and single ventricle pathway conditions requires surgical intervention shortly after birth to ensure infant survival</w:t>
      </w:r>
    </w:p>
    <w:p w14:paraId="4248D3D7" w14:textId="77777777" w:rsidR="007902A5" w:rsidRPr="00852353" w:rsidRDefault="007902A5" w:rsidP="007902A5">
      <w:pPr>
        <w:autoSpaceDE w:val="0"/>
        <w:autoSpaceDN w:val="0"/>
        <w:adjustRightInd w:val="0"/>
        <w:spacing w:after="0" w:line="240" w:lineRule="auto"/>
      </w:pPr>
    </w:p>
    <w:p w14:paraId="7EF3A828" w14:textId="77777777" w:rsidR="007902A5" w:rsidRPr="00852353" w:rsidRDefault="007902A5" w:rsidP="007902A5">
      <w:pPr>
        <w:autoSpaceDE w:val="0"/>
        <w:autoSpaceDN w:val="0"/>
        <w:adjustRightInd w:val="0"/>
        <w:spacing w:after="0" w:line="240" w:lineRule="auto"/>
      </w:pPr>
      <w:r w:rsidRPr="00852353">
        <w:t>The second sub-cause category, severe congenital heart defects excluding single ventricle and single ventricle pathway defects, includes common arterial trunk, common truncus, discordant ventriculoaterial connection, transposition of great vessels, atrioventricular septal defect, endocardial cushion defect, Tetralogy of fallot, aortopulmonary septal defect, pulmonary valve atresia, congenital stenosis of aortic valve, and total anomalous pulmonary venous connection. This category of severe congenital heart defects includes ICD-10 codes Q20.0; Q20.3; Q21.2; Q21.3; Q21.4; Q22.0; Q23.0 and Q26.2.</w:t>
      </w:r>
    </w:p>
    <w:p w14:paraId="64870A8E" w14:textId="77777777" w:rsidR="007902A5" w:rsidRPr="00852353" w:rsidRDefault="007902A5" w:rsidP="007902A5">
      <w:pPr>
        <w:autoSpaceDE w:val="0"/>
        <w:autoSpaceDN w:val="0"/>
        <w:adjustRightInd w:val="0"/>
        <w:spacing w:after="0" w:line="240" w:lineRule="auto"/>
      </w:pPr>
    </w:p>
    <w:p w14:paraId="2BACC586" w14:textId="77777777" w:rsidR="007902A5" w:rsidRPr="00852353" w:rsidRDefault="007902A5" w:rsidP="007902A5">
      <w:pPr>
        <w:autoSpaceDE w:val="0"/>
        <w:autoSpaceDN w:val="0"/>
        <w:adjustRightInd w:val="0"/>
        <w:spacing w:after="0" w:line="240" w:lineRule="auto"/>
      </w:pPr>
      <w:r w:rsidRPr="00852353">
        <w:t>The third sub-cause category is critical malformations of great vessels, congenital valvular heart disease and patent ductus arteriosis. The malformations of vessels and valves in this sub-cause category include Ebstein’s anomaly, congenital pulmonary valve stenosis, pulmonary valve insufficiency, other malformations of the pulmonary valve, malformations of the tricuspid valve, tricuspid atresia or stenosis, insufficiency of the aortic valve, mitral stenosis or insufficiency, and other malformations of aortic and mitral valves. Patent ductus arteriosis cases are only included among infants of &gt;37 weeks gestational age, as premature infants often have minor patent ductus arteriosis that closes shortly after birth. The ICD-10 codes corresponding to the critical malformations of great vessels category include Q22.1, Q22.2, Q22.3, Q22.5, Q22.8, Q22.9, Q23.1, Q23.2, Q23.3, Q23.8, Q23, Q25.1, Q25.2, Q25.3, Q25.4, Q25.5, and Q25.0. The majority of these conditions require medical attention shortly within the first few weeks of life.</w:t>
      </w:r>
    </w:p>
    <w:p w14:paraId="1E227AA7" w14:textId="77777777" w:rsidR="007902A5" w:rsidRPr="00852353" w:rsidRDefault="007902A5" w:rsidP="007902A5">
      <w:pPr>
        <w:autoSpaceDE w:val="0"/>
        <w:autoSpaceDN w:val="0"/>
        <w:adjustRightInd w:val="0"/>
        <w:spacing w:after="0" w:line="240" w:lineRule="auto"/>
      </w:pPr>
    </w:p>
    <w:p w14:paraId="2BC80B65" w14:textId="77777777" w:rsidR="007902A5" w:rsidRPr="00852353" w:rsidRDefault="007902A5" w:rsidP="007902A5">
      <w:pPr>
        <w:autoSpaceDE w:val="0"/>
        <w:autoSpaceDN w:val="0"/>
        <w:adjustRightInd w:val="0"/>
        <w:spacing w:after="0" w:line="240" w:lineRule="auto"/>
      </w:pPr>
      <w:r w:rsidRPr="00852353">
        <w:t>The fourth sub-cause category, ventricular septal defects and atrial septal defects, includes holes in the walls separating the chambers of the heart. Many of these septal defects close spontaneously, while other require surgical care. The ICD-10 codes corresponding to ventricular septal defect and atrial septal defect are Q21.0 and Q21.1, respectively.</w:t>
      </w:r>
    </w:p>
    <w:p w14:paraId="60B84404" w14:textId="77777777" w:rsidR="007902A5" w:rsidRDefault="007902A5" w:rsidP="007902A5">
      <w:r w:rsidRPr="00852353">
        <w:t>The fifth and final sub-cause category of congenital heart defects is other congenital cardiovascular anomalies, which correspond to ICD-10 codes Q27, Q27.1, Q27.2, Q27.3, Q27.30, Q27.31, Q27.32, Q27.33, Q27.34, Q27.39, Q27.4, Q27.8, Q27.9, Q28, Q28.0, Q28.1, Q28.2, Q28.3, Q28.8 and Q28.9.</w:t>
      </w:r>
    </w:p>
    <w:p w14:paraId="18163E4C" w14:textId="77777777" w:rsidR="007902A5" w:rsidRPr="00731685" w:rsidRDefault="007902A5" w:rsidP="007902A5">
      <w:r w:rsidRPr="00731685">
        <w:rPr>
          <w:b/>
        </w:rPr>
        <w:t>Method of measurement:</w:t>
      </w:r>
      <w:r w:rsidRPr="00731685">
        <w:t xml:space="preserve"> </w:t>
      </w:r>
      <w:r w:rsidRPr="00852353">
        <w:t xml:space="preserve">For </w:t>
      </w:r>
      <w:r>
        <w:t xml:space="preserve">mortality estimates we have used </w:t>
      </w:r>
      <w:r w:rsidRPr="00852353">
        <w:t>Vital registration (VR) and surveil</w:t>
      </w:r>
      <w:r>
        <w:t>lance systems.</w:t>
      </w:r>
    </w:p>
    <w:p w14:paraId="2860B237" w14:textId="77777777" w:rsidR="007902A5" w:rsidRPr="00852353" w:rsidRDefault="007902A5" w:rsidP="007902A5">
      <w:pPr>
        <w:autoSpaceDE w:val="0"/>
        <w:autoSpaceDN w:val="0"/>
        <w:adjustRightInd w:val="0"/>
        <w:spacing w:after="0" w:line="240" w:lineRule="auto"/>
      </w:pPr>
      <w:r>
        <w:t>For the prevalence estimates, w</w:t>
      </w:r>
      <w:r w:rsidRPr="00852353">
        <w:t>e extracted data from several international birth defects registries. The International Clearinghouse for Birth Defects Surveillance and Research (ICBDSR) reports birth prevalence from several international member registries. The World Atlas Report also published birth prevalence estimates from these international registries prior to the publication of ICBDSR reports. The European Surveillance of Congenital Anomalies (EUROCAT) reports the birth prevalence of anomalies as for a variety of locations in Western Europe as reported by participating member registries. China’s Maternal and Child Health Surveillance survey (MCHS) reports birth prevalence and early neonatal mortality data for all subnational locations of China. The National Birth Defects Prevention Network (NBDPN) reports birth prevalence estimates as compiled by several subnational registries within the United States.</w:t>
      </w:r>
    </w:p>
    <w:p w14:paraId="20A1C232" w14:textId="77777777" w:rsidR="007902A5" w:rsidRPr="00852353" w:rsidRDefault="007902A5" w:rsidP="007902A5">
      <w:pPr>
        <w:autoSpaceDE w:val="0"/>
        <w:autoSpaceDN w:val="0"/>
        <w:adjustRightInd w:val="0"/>
        <w:spacing w:after="0" w:line="240" w:lineRule="auto"/>
      </w:pPr>
    </w:p>
    <w:p w14:paraId="78A3C650" w14:textId="77777777" w:rsidR="007902A5" w:rsidRDefault="007902A5" w:rsidP="007902A5">
      <w:pPr>
        <w:autoSpaceDE w:val="0"/>
        <w:autoSpaceDN w:val="0"/>
        <w:adjustRightInd w:val="0"/>
        <w:spacing w:after="0" w:line="240" w:lineRule="auto"/>
      </w:pPr>
      <w:r w:rsidRPr="00852353">
        <w:t>The Birth Defects Registry of India (BDRI) reports congenital anomalies from participating hospitals within India. Inpatient hospital and Marketscan claims data for all congenital anomalies causes and sub-cause models was prepped centrally by the GBD research team. The inpatient hospital data was adjusted for multiple inpatient visits by individuals and for the correction of primary diagnoses to all diagnoses including the congenital ICD codes.</w:t>
      </w:r>
    </w:p>
    <w:p w14:paraId="3DFBD636" w14:textId="77777777" w:rsidR="007902A5" w:rsidRPr="00852353" w:rsidRDefault="007902A5" w:rsidP="007902A5">
      <w:pPr>
        <w:autoSpaceDE w:val="0"/>
        <w:autoSpaceDN w:val="0"/>
        <w:adjustRightInd w:val="0"/>
        <w:spacing w:after="0" w:line="240" w:lineRule="auto"/>
      </w:pPr>
    </w:p>
    <w:p w14:paraId="0155A5DF" w14:textId="77777777" w:rsidR="007902A5" w:rsidRDefault="007902A5" w:rsidP="007902A5">
      <w:pPr>
        <w:rPr>
          <w:rFonts w:ascii="MyriadPro-Cond" w:eastAsia="MyriadPro-Cond" w:cs="MyriadPro-Cond"/>
        </w:rPr>
      </w:pPr>
      <w:r>
        <w:rPr>
          <w:b/>
        </w:rPr>
        <w:t>Measurement frequency:</w:t>
      </w:r>
      <w:r>
        <w:t xml:space="preserve"> Annual.</w:t>
      </w:r>
    </w:p>
    <w:p w14:paraId="4DC8FDBB" w14:textId="77777777" w:rsidR="007902A5" w:rsidRDefault="007902A5" w:rsidP="007902A5">
      <w:r>
        <w:rPr>
          <w:b/>
        </w:rPr>
        <w:t>Monitoring and evaluation framework:</w:t>
      </w:r>
      <w:r>
        <w:t xml:space="preserve"> Outcome.</w:t>
      </w:r>
    </w:p>
    <w:p w14:paraId="32BABEBC" w14:textId="1213F4D0" w:rsidR="007902A5" w:rsidRDefault="007902A5" w:rsidP="007902A5">
      <w:pPr>
        <w:rPr>
          <w:rFonts w:ascii="MyriadPro-Cond" w:eastAsia="MyriadPro-Cond" w:cs="MyriadPro-Cond"/>
        </w:rPr>
      </w:pPr>
      <w:r>
        <w:rPr>
          <w:b/>
        </w:rPr>
        <w:t>Preferred data sources:</w:t>
      </w:r>
      <w:r>
        <w:t xml:space="preserve"> High-quality vital registration data for mortality and birth defects registries for prevalence</w:t>
      </w:r>
      <w:r w:rsidR="0062025E">
        <w:t xml:space="preserve">. </w:t>
      </w:r>
      <w:r w:rsidR="00605DD9" w:rsidRPr="00605DD9">
        <w:t>Censuses, WPP, Household surveys (DHS, MICs, National); verbal autopsy studies; CHAMPs</w:t>
      </w:r>
      <w:r w:rsidR="00605DD9">
        <w:t>.</w:t>
      </w:r>
    </w:p>
    <w:p w14:paraId="41340265" w14:textId="2F7B833F" w:rsidR="007902A5" w:rsidRPr="00E451CD" w:rsidRDefault="007902A5" w:rsidP="007902A5"/>
    <w:p w14:paraId="034CBD34" w14:textId="77777777" w:rsidR="007902A5" w:rsidRDefault="007902A5" w:rsidP="007902A5">
      <w:pPr>
        <w:rPr>
          <w:b/>
          <w:u w:val="single"/>
        </w:rPr>
      </w:pPr>
    </w:p>
    <w:p w14:paraId="32032592" w14:textId="77777777" w:rsidR="007902A5" w:rsidRDefault="007902A5" w:rsidP="007902A5">
      <w:pPr>
        <w:rPr>
          <w:b/>
          <w:u w:val="single"/>
        </w:rPr>
      </w:pPr>
    </w:p>
    <w:p w14:paraId="3DC515ED" w14:textId="77777777" w:rsidR="007902A5" w:rsidRDefault="007902A5" w:rsidP="007902A5">
      <w:pPr>
        <w:rPr>
          <w:b/>
          <w:u w:val="single"/>
        </w:rPr>
      </w:pPr>
    </w:p>
    <w:p w14:paraId="4CE7054E" w14:textId="77777777" w:rsidR="007902A5" w:rsidRDefault="007902A5" w:rsidP="007902A5">
      <w:pPr>
        <w:rPr>
          <w:b/>
          <w:u w:val="single"/>
        </w:rPr>
      </w:pPr>
    </w:p>
    <w:p w14:paraId="55C363DE" w14:textId="77777777" w:rsidR="007902A5" w:rsidRDefault="007902A5" w:rsidP="007902A5">
      <w:pPr>
        <w:rPr>
          <w:b/>
          <w:u w:val="single"/>
        </w:rPr>
      </w:pPr>
    </w:p>
    <w:p w14:paraId="43DB1005" w14:textId="77777777" w:rsidR="007902A5" w:rsidRDefault="007902A5" w:rsidP="007902A5">
      <w:pPr>
        <w:rPr>
          <w:b/>
          <w:u w:val="single"/>
        </w:rPr>
      </w:pPr>
    </w:p>
    <w:p w14:paraId="6E18BACF" w14:textId="5DFC25EB" w:rsidR="007902A5" w:rsidRDefault="007902A5" w:rsidP="007902A5">
      <w:pPr>
        <w:rPr>
          <w:b/>
          <w:u w:val="single"/>
        </w:rPr>
      </w:pPr>
    </w:p>
    <w:p w14:paraId="303BE57F" w14:textId="77777777" w:rsidR="00055F78" w:rsidRDefault="00055F78" w:rsidP="007902A5">
      <w:pPr>
        <w:rPr>
          <w:b/>
          <w:u w:val="single"/>
        </w:rPr>
      </w:pPr>
    </w:p>
    <w:p w14:paraId="45C391B5" w14:textId="1DFDE4B6" w:rsidR="007902A5" w:rsidRPr="00CE2032" w:rsidRDefault="007902A5" w:rsidP="007902A5">
      <w:pPr>
        <w:rPr>
          <w:u w:val="single"/>
        </w:rPr>
      </w:pPr>
      <w:r>
        <w:rPr>
          <w:b/>
          <w:u w:val="single"/>
        </w:rPr>
        <w:t xml:space="preserve">21. </w:t>
      </w:r>
      <w:r w:rsidRPr="00843AE3">
        <w:rPr>
          <w:u w:val="single"/>
        </w:rPr>
        <w:t>EC surgical care for abdominal emergencies</w:t>
      </w:r>
      <w:r w:rsidRPr="00CE2032">
        <w:rPr>
          <w:u w:val="single"/>
        </w:rPr>
        <w:t>.</w:t>
      </w:r>
    </w:p>
    <w:p w14:paraId="7AB9A5FE" w14:textId="77777777" w:rsidR="007902A5" w:rsidRDefault="007902A5" w:rsidP="007902A5">
      <w:pPr>
        <w:rPr>
          <w:rFonts w:ascii="MyriadPro-Cond" w:eastAsia="MyriadPro-Cond" w:cs="MyriadPro-Cond"/>
        </w:rPr>
      </w:pPr>
      <w:r>
        <w:rPr>
          <w:b/>
        </w:rPr>
        <w:t>Domain of Global Reference List:</w:t>
      </w:r>
      <w:r>
        <w:t xml:space="preserve"> Service coverage.</w:t>
      </w:r>
    </w:p>
    <w:p w14:paraId="3F21E7ED" w14:textId="77777777" w:rsidR="007902A5" w:rsidRDefault="007902A5" w:rsidP="007902A5">
      <w:pPr>
        <w:rPr>
          <w:b/>
        </w:rPr>
      </w:pPr>
      <w:r>
        <w:rPr>
          <w:b/>
        </w:rPr>
        <w:t>Rationale:</w:t>
      </w:r>
      <w:r>
        <w:t xml:space="preserve"> It is a tracer indicator. The abdominal emergency case-fatality rate is a marker of access to and quality of health surgery services for individuals at any age.</w:t>
      </w:r>
    </w:p>
    <w:p w14:paraId="12CB433F" w14:textId="77777777" w:rsidR="007902A5" w:rsidRDefault="007902A5" w:rsidP="007902A5">
      <w:r>
        <w:rPr>
          <w:b/>
        </w:rPr>
        <w:t>Numerator:</w:t>
      </w:r>
      <w:r>
        <w:t xml:space="preserve"> </w:t>
      </w:r>
      <w:r w:rsidRPr="00843AE3">
        <w:t>number of deaths due to appendicitis, paralytic ileus and intestinal obstruction</w:t>
      </w:r>
      <w:r>
        <w:t>.</w:t>
      </w:r>
    </w:p>
    <w:p w14:paraId="1ADF7AB1" w14:textId="77777777" w:rsidR="007902A5" w:rsidRPr="00D75793" w:rsidRDefault="007902A5" w:rsidP="007902A5">
      <w:r>
        <w:rPr>
          <w:b/>
        </w:rPr>
        <w:t xml:space="preserve">Denominator: </w:t>
      </w:r>
      <w:r w:rsidRPr="00843AE3">
        <w:t>number of incident cases of appendicitis, hernia, paralytic ileus and intestinal obstruction</w:t>
      </w:r>
      <w:r>
        <w:t>.</w:t>
      </w:r>
    </w:p>
    <w:p w14:paraId="0A7291A0" w14:textId="77777777" w:rsidR="007902A5" w:rsidRDefault="007902A5" w:rsidP="007902A5">
      <w:pPr>
        <w:rPr>
          <w:b/>
        </w:rPr>
      </w:pPr>
      <w:r>
        <w:rPr>
          <w:b/>
        </w:rPr>
        <w:t xml:space="preserve">Case definitions: </w:t>
      </w:r>
    </w:p>
    <w:p w14:paraId="684958E0" w14:textId="77777777" w:rsidR="007902A5" w:rsidRPr="003D568A" w:rsidRDefault="007902A5" w:rsidP="007902A5">
      <w:pPr>
        <w:autoSpaceDE w:val="0"/>
        <w:autoSpaceDN w:val="0"/>
        <w:adjustRightInd w:val="0"/>
        <w:spacing w:after="0" w:line="240" w:lineRule="auto"/>
      </w:pPr>
      <w:r w:rsidRPr="003D568A">
        <w:t xml:space="preserve">Appendicitis: Appendicitis is an inflammation of the appendix that causes nausea, vomiting, and sharp pain in the right lower abdomen. Appendicitis requires surgery, or septic shock may set in and the patient will be at risk for severe complications, including sepsis and death. ICD-10 codes included are K35-K35.3, K35.8, K35.80, K35.89, K35.9, K36, K36.0, K37, K37.0, K37.9, and K38.3. </w:t>
      </w:r>
    </w:p>
    <w:p w14:paraId="60E37A97" w14:textId="77777777" w:rsidR="007902A5" w:rsidRPr="003D568A" w:rsidRDefault="007902A5" w:rsidP="007902A5">
      <w:pPr>
        <w:autoSpaceDE w:val="0"/>
        <w:autoSpaceDN w:val="0"/>
        <w:adjustRightInd w:val="0"/>
        <w:spacing w:after="0" w:line="240" w:lineRule="auto"/>
      </w:pPr>
      <w:r w:rsidRPr="003D568A">
        <w:t>Paralytic ileus and intestinal obstruction:</w:t>
      </w:r>
      <w:r>
        <w:t xml:space="preserve"> </w:t>
      </w:r>
      <w:r w:rsidRPr="003D568A">
        <w:t xml:space="preserve">Paralytic ileus and intestinal obstruction is a lack of digestive propulsion caused by failed peristalsis, typically requiring surgery. ICD code for paralytic ileus and intestinal obstruction is K56. </w:t>
      </w:r>
    </w:p>
    <w:p w14:paraId="11E2DE4E" w14:textId="77777777" w:rsidR="007902A5" w:rsidRDefault="007902A5" w:rsidP="007902A5">
      <w:pPr>
        <w:autoSpaceDE w:val="0"/>
        <w:autoSpaceDN w:val="0"/>
        <w:adjustRightInd w:val="0"/>
        <w:spacing w:after="0" w:line="240" w:lineRule="auto"/>
        <w:rPr>
          <w:rFonts w:cstheme="minorHAnsi"/>
        </w:rPr>
      </w:pPr>
      <w:r w:rsidRPr="00D511AE">
        <w:rPr>
          <w:rFonts w:cstheme="minorHAnsi"/>
        </w:rPr>
        <w:t>The lack of surgery</w:t>
      </w:r>
      <w:r>
        <w:rPr>
          <w:rFonts w:cstheme="minorHAnsi"/>
        </w:rPr>
        <w:t xml:space="preserve"> for these conditions can produce deaths due to the abdominal peritonitis.  </w:t>
      </w:r>
    </w:p>
    <w:p w14:paraId="47771BF2" w14:textId="77777777" w:rsidR="007902A5" w:rsidRPr="00D511AE" w:rsidRDefault="007902A5" w:rsidP="007902A5">
      <w:pPr>
        <w:autoSpaceDE w:val="0"/>
        <w:autoSpaceDN w:val="0"/>
        <w:adjustRightInd w:val="0"/>
        <w:spacing w:after="0" w:line="240" w:lineRule="auto"/>
        <w:rPr>
          <w:rFonts w:cstheme="minorHAnsi"/>
        </w:rPr>
      </w:pPr>
    </w:p>
    <w:p w14:paraId="3F77E2F0" w14:textId="77777777" w:rsidR="007902A5" w:rsidRDefault="007902A5" w:rsidP="007902A5">
      <w:pPr>
        <w:rPr>
          <w:b/>
        </w:rPr>
      </w:pPr>
      <w:r>
        <w:rPr>
          <w:b/>
        </w:rPr>
        <w:t xml:space="preserve">Method of measurement: </w:t>
      </w:r>
    </w:p>
    <w:p w14:paraId="7549EAB9" w14:textId="77777777" w:rsidR="007902A5" w:rsidRDefault="007902A5" w:rsidP="007902A5">
      <w:pPr>
        <w:rPr>
          <w:i/>
          <w:u w:val="single"/>
        </w:rPr>
      </w:pPr>
      <w:r>
        <w:rPr>
          <w:i/>
          <w:u w:val="single"/>
        </w:rPr>
        <w:t>Deaths</w:t>
      </w:r>
    </w:p>
    <w:p w14:paraId="2FBEBDBC" w14:textId="77777777" w:rsidR="007902A5" w:rsidRPr="003D568A" w:rsidRDefault="007902A5" w:rsidP="007902A5">
      <w:pPr>
        <w:autoSpaceDE w:val="0"/>
        <w:autoSpaceDN w:val="0"/>
        <w:adjustRightInd w:val="0"/>
        <w:spacing w:after="0" w:line="240" w:lineRule="auto"/>
      </w:pPr>
      <w:r w:rsidRPr="003D568A">
        <w:t>Appendicitis:</w:t>
      </w:r>
      <w:r>
        <w:t xml:space="preserve"> </w:t>
      </w:r>
      <w:r w:rsidRPr="003D568A">
        <w:t>Data used to estimate appendicitis mortality consisted of vital registration and verbal autopsy data from the cause of death (COD) database.</w:t>
      </w:r>
    </w:p>
    <w:p w14:paraId="438198F5" w14:textId="77777777" w:rsidR="007902A5" w:rsidRPr="003D568A" w:rsidRDefault="007902A5" w:rsidP="007902A5">
      <w:pPr>
        <w:autoSpaceDE w:val="0"/>
        <w:autoSpaceDN w:val="0"/>
        <w:adjustRightInd w:val="0"/>
        <w:spacing w:after="0" w:line="240" w:lineRule="auto"/>
      </w:pPr>
    </w:p>
    <w:p w14:paraId="5DD5C9AA" w14:textId="77777777" w:rsidR="007902A5" w:rsidRPr="003D568A" w:rsidRDefault="007902A5" w:rsidP="007902A5">
      <w:pPr>
        <w:autoSpaceDE w:val="0"/>
        <w:autoSpaceDN w:val="0"/>
        <w:adjustRightInd w:val="0"/>
        <w:spacing w:after="0" w:line="240" w:lineRule="auto"/>
      </w:pPr>
      <w:r w:rsidRPr="003D568A">
        <w:t xml:space="preserve">Paralytic ileus and intestinal obstruction: Data used to estimate paralytic ileus and intestinal obstruction mortality consisted of vital registration and verbal autopsy data from the cause of death (COD) database. </w:t>
      </w:r>
    </w:p>
    <w:p w14:paraId="6DA676B7" w14:textId="77777777" w:rsidR="007902A5" w:rsidRPr="007C5C3B" w:rsidRDefault="007902A5" w:rsidP="007902A5">
      <w:pPr>
        <w:autoSpaceDE w:val="0"/>
        <w:autoSpaceDN w:val="0"/>
        <w:adjustRightInd w:val="0"/>
        <w:spacing w:after="0" w:line="240" w:lineRule="auto"/>
        <w:rPr>
          <w:rFonts w:ascii="Calibri" w:hAnsi="Calibri" w:cs="Calibri"/>
        </w:rPr>
      </w:pPr>
    </w:p>
    <w:p w14:paraId="26254344" w14:textId="77777777" w:rsidR="007902A5" w:rsidRPr="00FB0F00" w:rsidRDefault="007902A5" w:rsidP="007902A5">
      <w:pPr>
        <w:rPr>
          <w:i/>
          <w:u w:val="single"/>
        </w:rPr>
      </w:pPr>
      <w:r w:rsidRPr="00FB0F00">
        <w:rPr>
          <w:i/>
          <w:u w:val="single"/>
        </w:rPr>
        <w:t>Incidence</w:t>
      </w:r>
    </w:p>
    <w:p w14:paraId="7E925A0C" w14:textId="77777777" w:rsidR="007902A5" w:rsidRPr="003D568A" w:rsidRDefault="007902A5" w:rsidP="007902A5">
      <w:pPr>
        <w:autoSpaceDE w:val="0"/>
        <w:autoSpaceDN w:val="0"/>
        <w:adjustRightInd w:val="0"/>
        <w:spacing w:after="0" w:line="240" w:lineRule="auto"/>
      </w:pPr>
      <w:r w:rsidRPr="003D568A">
        <w:t>Appendicitis:</w:t>
      </w:r>
      <w:r>
        <w:t xml:space="preserve"> </w:t>
      </w:r>
      <w:r w:rsidRPr="003D568A">
        <w:t>For GBD 2017, the data used for appendicitis are hospital inpatient data</w:t>
      </w:r>
      <w:r>
        <w:t>.</w:t>
      </w:r>
      <w:r w:rsidRPr="003D568A">
        <w:t xml:space="preserve"> </w:t>
      </w:r>
    </w:p>
    <w:p w14:paraId="4F95701A" w14:textId="77777777" w:rsidR="007902A5" w:rsidRDefault="007902A5" w:rsidP="007902A5">
      <w:pPr>
        <w:autoSpaceDE w:val="0"/>
        <w:autoSpaceDN w:val="0"/>
        <w:adjustRightInd w:val="0"/>
        <w:spacing w:after="0" w:line="240" w:lineRule="auto"/>
      </w:pPr>
      <w:r w:rsidRPr="003D568A">
        <w:t xml:space="preserve">Paralytic ileus and intestinal obstruction: For GBD 2017, the data used for paralytic ileus and intestinal obstruction were hospital inpatient data </w:t>
      </w:r>
    </w:p>
    <w:p w14:paraId="32FA6518" w14:textId="77777777" w:rsidR="007902A5" w:rsidRPr="003D568A" w:rsidRDefault="007902A5" w:rsidP="007902A5">
      <w:pPr>
        <w:autoSpaceDE w:val="0"/>
        <w:autoSpaceDN w:val="0"/>
        <w:adjustRightInd w:val="0"/>
        <w:spacing w:after="0" w:line="240" w:lineRule="auto"/>
      </w:pPr>
    </w:p>
    <w:p w14:paraId="4B0526C8" w14:textId="77777777" w:rsidR="007902A5" w:rsidRDefault="007902A5" w:rsidP="007902A5">
      <w:pPr>
        <w:rPr>
          <w:rFonts w:ascii="MyriadPro-Cond" w:eastAsia="MyriadPro-Cond" w:cs="MyriadPro-Cond"/>
        </w:rPr>
      </w:pPr>
      <w:r>
        <w:rPr>
          <w:b/>
        </w:rPr>
        <w:t>Measurement frequency:</w:t>
      </w:r>
      <w:r>
        <w:t xml:space="preserve"> Annual.</w:t>
      </w:r>
    </w:p>
    <w:p w14:paraId="1FAD9110" w14:textId="77777777" w:rsidR="007902A5" w:rsidRDefault="007902A5" w:rsidP="007902A5">
      <w:r>
        <w:rPr>
          <w:b/>
        </w:rPr>
        <w:t>Monitoring and evaluation framework:</w:t>
      </w:r>
      <w:r>
        <w:t xml:space="preserve"> Outcome.</w:t>
      </w:r>
    </w:p>
    <w:p w14:paraId="60A2D473" w14:textId="77777777" w:rsidR="007902A5" w:rsidRDefault="007902A5" w:rsidP="007902A5">
      <w:pPr>
        <w:rPr>
          <w:rFonts w:ascii="MyriadPro-Cond" w:eastAsia="MyriadPro-Cond" w:cs="MyriadPro-Cond"/>
        </w:rPr>
      </w:pPr>
      <w:r>
        <w:rPr>
          <w:b/>
        </w:rPr>
        <w:t>Preferred data sources:</w:t>
      </w:r>
      <w:r>
        <w:t xml:space="preserve"> Hospital inpatient data.</w:t>
      </w:r>
    </w:p>
    <w:p w14:paraId="45FEF7DA" w14:textId="3066DA89" w:rsidR="007902A5" w:rsidRDefault="007902A5" w:rsidP="007902A5"/>
    <w:p w14:paraId="02B6CB10" w14:textId="77777777" w:rsidR="007902A5" w:rsidRDefault="007902A5" w:rsidP="007902A5"/>
    <w:p w14:paraId="03415077" w14:textId="77777777" w:rsidR="00743774" w:rsidRPr="007902A5" w:rsidRDefault="00743774" w:rsidP="007902A5"/>
    <w:p w14:paraId="617744D4" w14:textId="77777777" w:rsidR="007902A5" w:rsidRPr="002554F5" w:rsidRDefault="007902A5" w:rsidP="007902A5">
      <w:pPr>
        <w:rPr>
          <w:u w:val="single"/>
        </w:rPr>
      </w:pPr>
      <w:r>
        <w:rPr>
          <w:b/>
          <w:u w:val="single"/>
        </w:rPr>
        <w:t>22</w:t>
      </w:r>
      <w:r w:rsidRPr="002554F5">
        <w:rPr>
          <w:b/>
          <w:u w:val="single"/>
        </w:rPr>
        <w:t xml:space="preserve">. </w:t>
      </w:r>
      <w:r w:rsidRPr="00843AE3">
        <w:rPr>
          <w:u w:val="single"/>
        </w:rPr>
        <w:t>EC refractive error correction</w:t>
      </w:r>
      <w:r w:rsidRPr="002554F5">
        <w:rPr>
          <w:u w:val="single"/>
        </w:rPr>
        <w:t>.</w:t>
      </w:r>
    </w:p>
    <w:p w14:paraId="379862AA" w14:textId="77777777" w:rsidR="007902A5" w:rsidRDefault="007902A5" w:rsidP="007902A5">
      <w:pPr>
        <w:rPr>
          <w:rFonts w:ascii="MyriadPro-Cond" w:eastAsia="MyriadPro-Cond" w:cs="MyriadPro-Cond"/>
        </w:rPr>
      </w:pPr>
      <w:r>
        <w:rPr>
          <w:b/>
        </w:rPr>
        <w:t>Domain of Global Reference List:</w:t>
      </w:r>
      <w:r>
        <w:t xml:space="preserve"> Service coverage.</w:t>
      </w:r>
    </w:p>
    <w:p w14:paraId="6C0DF1F1" w14:textId="77777777" w:rsidR="007902A5" w:rsidRDefault="007902A5" w:rsidP="007902A5">
      <w:pPr>
        <w:rPr>
          <w:b/>
        </w:rPr>
      </w:pPr>
      <w:r>
        <w:rPr>
          <w:b/>
        </w:rPr>
        <w:t>Rationale:</w:t>
      </w:r>
      <w:r>
        <w:t xml:space="preserve"> It is a tracer indicator. Refractive error is highly amenable to treatment and affects all ages and both sexes. The prevalence of vision loss and blindness due to uncorrected refractive error is a marker of access to and quality of basic health care services.</w:t>
      </w:r>
    </w:p>
    <w:p w14:paraId="6E0790C0" w14:textId="77777777" w:rsidR="007902A5" w:rsidRDefault="007902A5" w:rsidP="007902A5">
      <w:r w:rsidRPr="006D63ED">
        <w:rPr>
          <w:b/>
        </w:rPr>
        <w:t>Numerator:</w:t>
      </w:r>
      <w:r>
        <w:t xml:space="preserve"> </w:t>
      </w:r>
      <w:r w:rsidRPr="00843AE3">
        <w:t>number of prevalent cases of moderate distance vision loss + severe distance vision loss + blindness due to uncorrected refractive error</w:t>
      </w:r>
      <w:r>
        <w:t>.</w:t>
      </w:r>
    </w:p>
    <w:p w14:paraId="33490CAA" w14:textId="77777777" w:rsidR="007902A5" w:rsidRPr="006D63ED" w:rsidRDefault="007902A5" w:rsidP="007902A5">
      <w:r>
        <w:rPr>
          <w:b/>
        </w:rPr>
        <w:t xml:space="preserve">Denominator: </w:t>
      </w:r>
      <w:r w:rsidRPr="00843AE3">
        <w:t>number in the whole population</w:t>
      </w:r>
      <w:r>
        <w:t>.</w:t>
      </w:r>
    </w:p>
    <w:p w14:paraId="1477936D" w14:textId="77777777" w:rsidR="007902A5" w:rsidRPr="006D63ED" w:rsidRDefault="007902A5" w:rsidP="007902A5">
      <w:r>
        <w:rPr>
          <w:b/>
        </w:rPr>
        <w:t xml:space="preserve">Case definition: </w:t>
      </w:r>
      <w:r>
        <w:t>The definition for each severity level of distance vision loss is below:</w:t>
      </w:r>
    </w:p>
    <w:tbl>
      <w:tblPr>
        <w:tblW w:w="63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23"/>
        <w:gridCol w:w="2792"/>
      </w:tblGrid>
      <w:tr w:rsidR="007902A5" w:rsidRPr="00077E86" w14:paraId="4CB86559" w14:textId="77777777" w:rsidTr="00994FE1">
        <w:trPr>
          <w:jc w:val="center"/>
        </w:trPr>
        <w:tc>
          <w:tcPr>
            <w:tcW w:w="3523" w:type="dxa"/>
            <w:tcMar>
              <w:top w:w="0" w:type="dxa"/>
              <w:left w:w="108" w:type="dxa"/>
              <w:bottom w:w="0" w:type="dxa"/>
              <w:right w:w="108" w:type="dxa"/>
            </w:tcMar>
            <w:hideMark/>
          </w:tcPr>
          <w:p w14:paraId="4A5F82E1" w14:textId="77777777" w:rsidR="007902A5" w:rsidRPr="00BC4F2E" w:rsidRDefault="007902A5" w:rsidP="00994FE1">
            <w:pPr>
              <w:rPr>
                <w:rFonts w:cstheme="minorHAnsi"/>
                <w:b/>
                <w:bCs/>
              </w:rPr>
            </w:pPr>
            <w:r w:rsidRPr="00BC4F2E">
              <w:rPr>
                <w:rFonts w:cstheme="minorHAnsi"/>
                <w:b/>
                <w:bCs/>
              </w:rPr>
              <w:t>Condition</w:t>
            </w:r>
          </w:p>
        </w:tc>
        <w:tc>
          <w:tcPr>
            <w:tcW w:w="2792" w:type="dxa"/>
            <w:tcMar>
              <w:top w:w="0" w:type="dxa"/>
              <w:left w:w="108" w:type="dxa"/>
              <w:bottom w:w="0" w:type="dxa"/>
              <w:right w:w="108" w:type="dxa"/>
            </w:tcMar>
            <w:hideMark/>
          </w:tcPr>
          <w:p w14:paraId="4D2CDA1D" w14:textId="77777777" w:rsidR="007902A5" w:rsidRPr="00BC4F2E" w:rsidRDefault="007902A5" w:rsidP="00994FE1">
            <w:pPr>
              <w:rPr>
                <w:rFonts w:cstheme="minorHAnsi"/>
                <w:b/>
                <w:bCs/>
              </w:rPr>
            </w:pPr>
            <w:r w:rsidRPr="00BC4F2E">
              <w:rPr>
                <w:rFonts w:cstheme="minorHAnsi"/>
                <w:b/>
                <w:bCs/>
              </w:rPr>
              <w:t>Case definition</w:t>
            </w:r>
          </w:p>
        </w:tc>
      </w:tr>
      <w:tr w:rsidR="007902A5" w:rsidRPr="00077E86" w14:paraId="4A32441C" w14:textId="77777777" w:rsidTr="00994FE1">
        <w:trPr>
          <w:jc w:val="center"/>
        </w:trPr>
        <w:tc>
          <w:tcPr>
            <w:tcW w:w="3523" w:type="dxa"/>
            <w:tcMar>
              <w:top w:w="0" w:type="dxa"/>
              <w:left w:w="108" w:type="dxa"/>
              <w:bottom w:w="0" w:type="dxa"/>
              <w:right w:w="108" w:type="dxa"/>
            </w:tcMar>
            <w:hideMark/>
          </w:tcPr>
          <w:p w14:paraId="5914E6DD" w14:textId="77777777" w:rsidR="007902A5" w:rsidRPr="00BC4F2E" w:rsidRDefault="007902A5" w:rsidP="00994FE1">
            <w:pPr>
              <w:rPr>
                <w:rFonts w:cstheme="minorHAnsi"/>
              </w:rPr>
            </w:pPr>
            <w:r w:rsidRPr="00BC4F2E">
              <w:rPr>
                <w:rFonts w:cstheme="minorHAnsi"/>
              </w:rPr>
              <w:t>Blindness</w:t>
            </w:r>
          </w:p>
        </w:tc>
        <w:tc>
          <w:tcPr>
            <w:tcW w:w="2792" w:type="dxa"/>
            <w:tcMar>
              <w:top w:w="0" w:type="dxa"/>
              <w:left w:w="108" w:type="dxa"/>
              <w:bottom w:w="0" w:type="dxa"/>
              <w:right w:w="108" w:type="dxa"/>
            </w:tcMar>
            <w:hideMark/>
          </w:tcPr>
          <w:p w14:paraId="11E99CD5" w14:textId="77777777" w:rsidR="007902A5" w:rsidRPr="00BC4F2E" w:rsidRDefault="007902A5" w:rsidP="00994FE1">
            <w:pPr>
              <w:rPr>
                <w:rFonts w:cstheme="minorHAnsi"/>
              </w:rPr>
            </w:pPr>
            <w:r w:rsidRPr="00BC4F2E">
              <w:rPr>
                <w:rFonts w:cstheme="minorHAnsi"/>
                <w:color w:val="000000"/>
              </w:rPr>
              <w:t>Visual acuity of &lt;3/60 or &lt;10% visual field around central fixation</w:t>
            </w:r>
          </w:p>
        </w:tc>
      </w:tr>
      <w:tr w:rsidR="007902A5" w:rsidRPr="00077E86" w14:paraId="615097A0" w14:textId="77777777" w:rsidTr="00994FE1">
        <w:trPr>
          <w:jc w:val="center"/>
        </w:trPr>
        <w:tc>
          <w:tcPr>
            <w:tcW w:w="3523" w:type="dxa"/>
            <w:tcMar>
              <w:top w:w="0" w:type="dxa"/>
              <w:left w:w="108" w:type="dxa"/>
              <w:bottom w:w="0" w:type="dxa"/>
              <w:right w:w="108" w:type="dxa"/>
            </w:tcMar>
            <w:hideMark/>
          </w:tcPr>
          <w:p w14:paraId="056BD0E0" w14:textId="77777777" w:rsidR="007902A5" w:rsidRPr="00BC4F2E" w:rsidRDefault="007902A5" w:rsidP="00994FE1">
            <w:pPr>
              <w:rPr>
                <w:rFonts w:cstheme="minorHAnsi"/>
              </w:rPr>
            </w:pPr>
            <w:r w:rsidRPr="00BC4F2E">
              <w:rPr>
                <w:rFonts w:cstheme="minorHAnsi"/>
              </w:rPr>
              <w:t xml:space="preserve">Severe vision impairment </w:t>
            </w:r>
          </w:p>
        </w:tc>
        <w:tc>
          <w:tcPr>
            <w:tcW w:w="2792" w:type="dxa"/>
            <w:tcMar>
              <w:top w:w="0" w:type="dxa"/>
              <w:left w:w="108" w:type="dxa"/>
              <w:bottom w:w="0" w:type="dxa"/>
              <w:right w:w="108" w:type="dxa"/>
            </w:tcMar>
            <w:hideMark/>
          </w:tcPr>
          <w:p w14:paraId="1438C7AB" w14:textId="77777777" w:rsidR="007902A5" w:rsidRPr="00BC4F2E" w:rsidRDefault="007902A5" w:rsidP="00994FE1">
            <w:pPr>
              <w:rPr>
                <w:rFonts w:cstheme="minorHAnsi"/>
              </w:rPr>
            </w:pPr>
            <w:r w:rsidRPr="00BC4F2E">
              <w:rPr>
                <w:rFonts w:cstheme="minorHAnsi"/>
              </w:rPr>
              <w:t>≥</w:t>
            </w:r>
            <w:r w:rsidRPr="00BC4F2E">
              <w:rPr>
                <w:rFonts w:cstheme="minorHAnsi"/>
                <w:color w:val="000000"/>
              </w:rPr>
              <w:t>3/60 and &lt;6/60</w:t>
            </w:r>
          </w:p>
        </w:tc>
      </w:tr>
      <w:tr w:rsidR="007902A5" w:rsidRPr="00077E86" w14:paraId="6A09B9BB" w14:textId="77777777" w:rsidTr="00994FE1">
        <w:trPr>
          <w:jc w:val="center"/>
        </w:trPr>
        <w:tc>
          <w:tcPr>
            <w:tcW w:w="3523" w:type="dxa"/>
            <w:tcMar>
              <w:top w:w="0" w:type="dxa"/>
              <w:left w:w="108" w:type="dxa"/>
              <w:bottom w:w="0" w:type="dxa"/>
              <w:right w:w="108" w:type="dxa"/>
            </w:tcMar>
            <w:hideMark/>
          </w:tcPr>
          <w:p w14:paraId="6BD5D147" w14:textId="77777777" w:rsidR="007902A5" w:rsidRPr="00BC4F2E" w:rsidRDefault="007902A5" w:rsidP="00994FE1">
            <w:pPr>
              <w:rPr>
                <w:rFonts w:cstheme="minorHAnsi"/>
              </w:rPr>
            </w:pPr>
            <w:r w:rsidRPr="00BC4F2E">
              <w:rPr>
                <w:rFonts w:cstheme="minorHAnsi"/>
              </w:rPr>
              <w:t xml:space="preserve">Moderate vision impairment </w:t>
            </w:r>
          </w:p>
        </w:tc>
        <w:tc>
          <w:tcPr>
            <w:tcW w:w="2792" w:type="dxa"/>
            <w:tcMar>
              <w:top w:w="0" w:type="dxa"/>
              <w:left w:w="108" w:type="dxa"/>
              <w:bottom w:w="0" w:type="dxa"/>
              <w:right w:w="108" w:type="dxa"/>
            </w:tcMar>
            <w:hideMark/>
          </w:tcPr>
          <w:p w14:paraId="04CA902D" w14:textId="77777777" w:rsidR="007902A5" w:rsidRPr="00BC4F2E" w:rsidRDefault="007902A5" w:rsidP="00994FE1">
            <w:pPr>
              <w:rPr>
                <w:rFonts w:cstheme="minorHAnsi"/>
              </w:rPr>
            </w:pPr>
            <w:r w:rsidRPr="00BC4F2E">
              <w:rPr>
                <w:rFonts w:cstheme="minorHAnsi"/>
              </w:rPr>
              <w:t>≥</w:t>
            </w:r>
            <w:r w:rsidRPr="00BC4F2E">
              <w:rPr>
                <w:rFonts w:cstheme="minorHAnsi"/>
                <w:color w:val="000000"/>
              </w:rPr>
              <w:t>6/60 and &lt;6/18</w:t>
            </w:r>
          </w:p>
        </w:tc>
      </w:tr>
    </w:tbl>
    <w:p w14:paraId="12271B4B" w14:textId="77777777" w:rsidR="007902A5" w:rsidRPr="006D63ED" w:rsidRDefault="007902A5" w:rsidP="007902A5"/>
    <w:p w14:paraId="014ED65B" w14:textId="77777777" w:rsidR="007902A5" w:rsidRPr="00B872EB" w:rsidRDefault="007902A5" w:rsidP="007902A5">
      <w:r>
        <w:rPr>
          <w:b/>
        </w:rPr>
        <w:t xml:space="preserve">Method of measurement: </w:t>
      </w:r>
      <w:r>
        <w:t xml:space="preserve">Data on overall vision impairment come from surveys measuring visual acuity in representative population-based studies, either from publications in peer-reviewed and grey literature or surveys for which we had the unit record data. Data were excluded if no test was used of visual acuity that can be converted to the Snellen scale, and if a study did </w:t>
      </w:r>
      <w:r w:rsidRPr="00390A15">
        <w:rPr>
          <w:rFonts w:hint="eastAsia"/>
        </w:rPr>
        <w:t xml:space="preserve">not assess </w:t>
      </w:r>
      <w:r w:rsidRPr="00390A15">
        <w:t>“presenting” or “best-corrected” vision</w:t>
      </w:r>
      <w:r>
        <w:t>. A subset of these studies that reported vision loss by cause were used to estimate the prevalence of vision loss due to cataract, glaucoma, macular degeneration, diabetic retinopathy, and other causes.</w:t>
      </w:r>
    </w:p>
    <w:p w14:paraId="488206D2" w14:textId="77777777" w:rsidR="007902A5" w:rsidRDefault="007902A5" w:rsidP="007902A5">
      <w:pPr>
        <w:rPr>
          <w:rFonts w:ascii="MyriadPro-Cond" w:eastAsia="MyriadPro-Cond" w:cs="MyriadPro-Cond"/>
        </w:rPr>
      </w:pPr>
      <w:r>
        <w:rPr>
          <w:b/>
        </w:rPr>
        <w:t>Measurement frequency:</w:t>
      </w:r>
      <w:r>
        <w:t xml:space="preserve"> Annual.</w:t>
      </w:r>
    </w:p>
    <w:p w14:paraId="3F4C951C" w14:textId="77777777" w:rsidR="007902A5" w:rsidRDefault="007902A5" w:rsidP="007902A5">
      <w:r>
        <w:rPr>
          <w:b/>
        </w:rPr>
        <w:t>Monitoring and evaluation framework:</w:t>
      </w:r>
      <w:r>
        <w:t xml:space="preserve"> Outcome.</w:t>
      </w:r>
    </w:p>
    <w:p w14:paraId="78012AE9" w14:textId="44B2DEAD" w:rsidR="007902A5" w:rsidRDefault="007902A5" w:rsidP="007902A5">
      <w:pPr>
        <w:rPr>
          <w:rFonts w:ascii="MyriadPro-Cond" w:eastAsia="MyriadPro-Cond" w:cs="MyriadPro-Cond"/>
        </w:rPr>
      </w:pPr>
      <w:r>
        <w:rPr>
          <w:b/>
        </w:rPr>
        <w:t>Preferred data sources:</w:t>
      </w:r>
      <w:r>
        <w:t xml:space="preserve"> Nationally-representative, population</w:t>
      </w:r>
      <w:r w:rsidR="007F6EAE">
        <w:t>-</w:t>
      </w:r>
      <w:r>
        <w:t>based individual-level survey data.</w:t>
      </w:r>
    </w:p>
    <w:p w14:paraId="01858672" w14:textId="3038E0D8" w:rsidR="007902A5" w:rsidRDefault="007902A5" w:rsidP="007902A5">
      <w:pPr>
        <w:rPr>
          <w:b/>
        </w:rPr>
      </w:pPr>
    </w:p>
    <w:p w14:paraId="11168A13" w14:textId="77777777" w:rsidR="007F6EAE" w:rsidRDefault="007F6EAE" w:rsidP="007902A5">
      <w:pPr>
        <w:rPr>
          <w:b/>
        </w:rPr>
      </w:pPr>
    </w:p>
    <w:p w14:paraId="37CC13E8" w14:textId="3694AD3B" w:rsidR="007902A5" w:rsidRDefault="007902A5" w:rsidP="007902A5">
      <w:pPr>
        <w:rPr>
          <w:b/>
        </w:rPr>
      </w:pPr>
    </w:p>
    <w:p w14:paraId="2B2484AC" w14:textId="61F71473" w:rsidR="007902A5" w:rsidRPr="00CE2032" w:rsidRDefault="007902A5" w:rsidP="007902A5">
      <w:pPr>
        <w:rPr>
          <w:u w:val="single"/>
        </w:rPr>
      </w:pPr>
      <w:r>
        <w:rPr>
          <w:b/>
          <w:u w:val="single"/>
        </w:rPr>
        <w:t xml:space="preserve">23. </w:t>
      </w:r>
      <w:r w:rsidRPr="00843AE3">
        <w:rPr>
          <w:u w:val="single"/>
        </w:rPr>
        <w:t xml:space="preserve">EC childhood </w:t>
      </w:r>
      <w:r w:rsidR="00BC4F2E" w:rsidRPr="00843AE3">
        <w:rPr>
          <w:u w:val="single"/>
        </w:rPr>
        <w:t>leukaemia</w:t>
      </w:r>
      <w:r w:rsidRPr="00CE2032">
        <w:rPr>
          <w:u w:val="single"/>
        </w:rPr>
        <w:t xml:space="preserve">. </w:t>
      </w:r>
    </w:p>
    <w:p w14:paraId="330288B6" w14:textId="77777777" w:rsidR="007902A5" w:rsidRDefault="007902A5" w:rsidP="007902A5">
      <w:pPr>
        <w:rPr>
          <w:rFonts w:ascii="MyriadPro-Cond" w:eastAsia="MyriadPro-Cond" w:cs="MyriadPro-Cond"/>
        </w:rPr>
      </w:pPr>
      <w:r>
        <w:rPr>
          <w:b/>
        </w:rPr>
        <w:t>Domain of Global Reference List:</w:t>
      </w:r>
      <w:r>
        <w:t xml:space="preserve"> Service coverage.</w:t>
      </w:r>
    </w:p>
    <w:p w14:paraId="034379E0" w14:textId="42D11DCA" w:rsidR="007902A5" w:rsidRDefault="007902A5" w:rsidP="007902A5">
      <w:r>
        <w:rPr>
          <w:b/>
        </w:rPr>
        <w:t>Rationale:</w:t>
      </w:r>
      <w:r>
        <w:t xml:space="preserve"> It is a tracer indicator. The case-fatality rate of </w:t>
      </w:r>
      <w:r w:rsidR="00BC4F2E">
        <w:t>leukaemia</w:t>
      </w:r>
      <w:r>
        <w:t xml:space="preserve"> is an important indicator of access to and the quality of health care services for children and adolescents aged 5 to 19.</w:t>
      </w:r>
    </w:p>
    <w:p w14:paraId="4EA72BFD" w14:textId="77777777" w:rsidR="007902A5" w:rsidRPr="0030268F" w:rsidRDefault="007902A5" w:rsidP="007902A5">
      <w:pPr>
        <w:rPr>
          <w:b/>
        </w:rPr>
      </w:pPr>
      <w:r>
        <w:rPr>
          <w:b/>
        </w:rPr>
        <w:t>Numerator:</w:t>
      </w:r>
      <w:r>
        <w:t xml:space="preserve"> </w:t>
      </w:r>
      <w:r w:rsidRPr="00843AE3">
        <w:t xml:space="preserve">number of deaths due to leukaemia in individuals aged </w:t>
      </w:r>
      <w:r>
        <w:t>5–19 years.</w:t>
      </w:r>
    </w:p>
    <w:p w14:paraId="7E4F69CB" w14:textId="77777777" w:rsidR="007902A5" w:rsidRPr="00D75793" w:rsidRDefault="007902A5" w:rsidP="007902A5">
      <w:r>
        <w:rPr>
          <w:b/>
        </w:rPr>
        <w:t xml:space="preserve">Denominator: </w:t>
      </w:r>
      <w:r w:rsidRPr="00843AE3">
        <w:t>number of incident cases of leukaemia in individuals aged 5–19 years</w:t>
      </w:r>
    </w:p>
    <w:p w14:paraId="479A7C45" w14:textId="77777777" w:rsidR="007902A5" w:rsidRPr="008D3ADC" w:rsidRDefault="007902A5" w:rsidP="007902A5">
      <w:r>
        <w:rPr>
          <w:b/>
        </w:rPr>
        <w:t xml:space="preserve">Case definition: </w:t>
      </w:r>
      <w:r>
        <w:t>For GBD 2017, incidence, prevalence, and disability are estimated for all cancers and benign neoplasms as defined in ICD-10 (C00-D49).</w:t>
      </w:r>
    </w:p>
    <w:p w14:paraId="0C9E2FB9" w14:textId="1FED51EB" w:rsidR="007902A5" w:rsidRPr="00B872EB" w:rsidRDefault="007902A5" w:rsidP="007902A5">
      <w:r>
        <w:rPr>
          <w:b/>
        </w:rPr>
        <w:t xml:space="preserve">Method of measurement: </w:t>
      </w:r>
      <w:r>
        <w:t>For mortality, data sources include vital registration, verbal autopsy, and cancer registry data. Cancer incidence is directly estimated from cancer mortality using mortality to incidence ratios (MIRs). To estimate the proportion of cancer patients undergoing procedures we used SEER and hospital discharges</w:t>
      </w:r>
      <w:r w:rsidR="00605DD9">
        <w:t xml:space="preserve">. </w:t>
      </w:r>
      <w:r w:rsidR="00605DD9" w:rsidRPr="00605DD9">
        <w:t>WPP, Household surveys (DHS, MICs, National); verbal autopsy studies; CHAMPs</w:t>
      </w:r>
      <w:r w:rsidR="00605DD9">
        <w:t>.</w:t>
      </w:r>
    </w:p>
    <w:p w14:paraId="2B9978B7" w14:textId="77777777" w:rsidR="007902A5" w:rsidRDefault="007902A5" w:rsidP="007902A5">
      <w:pPr>
        <w:rPr>
          <w:rFonts w:ascii="MyriadPro-Cond" w:eastAsia="MyriadPro-Cond" w:cs="MyriadPro-Cond"/>
        </w:rPr>
      </w:pPr>
      <w:r>
        <w:rPr>
          <w:b/>
        </w:rPr>
        <w:t>Measurement frequency:</w:t>
      </w:r>
      <w:r>
        <w:t xml:space="preserve"> Annual.</w:t>
      </w:r>
    </w:p>
    <w:p w14:paraId="39B8DA46" w14:textId="77777777" w:rsidR="007902A5" w:rsidRDefault="007902A5" w:rsidP="007902A5">
      <w:r>
        <w:rPr>
          <w:b/>
        </w:rPr>
        <w:t>Monitoring and evaluation framework:</w:t>
      </w:r>
      <w:r>
        <w:t xml:space="preserve"> Outcome.</w:t>
      </w:r>
    </w:p>
    <w:p w14:paraId="039A8873" w14:textId="77777777" w:rsidR="007902A5" w:rsidRDefault="007902A5" w:rsidP="007902A5">
      <w:pPr>
        <w:rPr>
          <w:rFonts w:ascii="MyriadPro-Cond" w:eastAsia="MyriadPro-Cond" w:cs="MyriadPro-Cond"/>
        </w:rPr>
      </w:pPr>
      <w:r>
        <w:rPr>
          <w:b/>
        </w:rPr>
        <w:t>Preferred data sources:</w:t>
      </w:r>
      <w:r>
        <w:t xml:space="preserve"> Cancer registry data.</w:t>
      </w:r>
    </w:p>
    <w:p w14:paraId="5A714F29" w14:textId="590E9815" w:rsidR="007902A5" w:rsidRPr="00610D00" w:rsidRDefault="007902A5" w:rsidP="007902A5">
      <w:r>
        <w:rPr>
          <w:b/>
        </w:rPr>
        <w:t xml:space="preserve"> </w:t>
      </w:r>
    </w:p>
    <w:p w14:paraId="47F6B841" w14:textId="77777777" w:rsidR="007902A5" w:rsidRDefault="007902A5" w:rsidP="007902A5">
      <w:pPr>
        <w:rPr>
          <w:b/>
        </w:rPr>
      </w:pPr>
    </w:p>
    <w:p w14:paraId="5F075FB7" w14:textId="77777777" w:rsidR="007902A5" w:rsidRDefault="007902A5" w:rsidP="007902A5">
      <w:pPr>
        <w:rPr>
          <w:b/>
        </w:rPr>
      </w:pPr>
    </w:p>
    <w:p w14:paraId="38EFE1F9" w14:textId="77777777" w:rsidR="007902A5" w:rsidRDefault="007902A5" w:rsidP="007902A5">
      <w:pPr>
        <w:rPr>
          <w:b/>
        </w:rPr>
      </w:pPr>
    </w:p>
    <w:p w14:paraId="65BCD5E9" w14:textId="77777777" w:rsidR="007902A5" w:rsidRDefault="007902A5" w:rsidP="007902A5">
      <w:pPr>
        <w:rPr>
          <w:b/>
        </w:rPr>
      </w:pPr>
    </w:p>
    <w:p w14:paraId="18673E4A" w14:textId="77777777" w:rsidR="007902A5" w:rsidRDefault="007902A5" w:rsidP="007902A5">
      <w:pPr>
        <w:rPr>
          <w:b/>
        </w:rPr>
      </w:pPr>
    </w:p>
    <w:p w14:paraId="4BCD4CE9" w14:textId="77777777" w:rsidR="007902A5" w:rsidRDefault="007902A5" w:rsidP="007902A5">
      <w:pPr>
        <w:rPr>
          <w:b/>
        </w:rPr>
      </w:pPr>
    </w:p>
    <w:p w14:paraId="1E0C710C" w14:textId="77777777" w:rsidR="007902A5" w:rsidRDefault="007902A5" w:rsidP="007902A5">
      <w:pPr>
        <w:rPr>
          <w:b/>
        </w:rPr>
      </w:pPr>
    </w:p>
    <w:p w14:paraId="5E598A23" w14:textId="77777777" w:rsidR="007902A5" w:rsidRDefault="007902A5" w:rsidP="007902A5">
      <w:pPr>
        <w:rPr>
          <w:b/>
        </w:rPr>
      </w:pPr>
    </w:p>
    <w:p w14:paraId="2C154412" w14:textId="77777777" w:rsidR="007902A5" w:rsidRDefault="007902A5" w:rsidP="007902A5">
      <w:pPr>
        <w:rPr>
          <w:b/>
        </w:rPr>
      </w:pPr>
    </w:p>
    <w:p w14:paraId="46E13AD5" w14:textId="77777777" w:rsidR="007902A5" w:rsidRDefault="007902A5" w:rsidP="007902A5">
      <w:pPr>
        <w:rPr>
          <w:b/>
        </w:rPr>
      </w:pPr>
    </w:p>
    <w:p w14:paraId="0942A396" w14:textId="78413362" w:rsidR="007902A5" w:rsidRDefault="007902A5" w:rsidP="007902A5">
      <w:pPr>
        <w:rPr>
          <w:b/>
        </w:rPr>
      </w:pPr>
    </w:p>
    <w:p w14:paraId="5C8A73BA" w14:textId="77777777" w:rsidR="007902A5" w:rsidRPr="00CE2032" w:rsidRDefault="007902A5" w:rsidP="007902A5">
      <w:pPr>
        <w:rPr>
          <w:bCs/>
          <w:u w:val="single"/>
        </w:rPr>
      </w:pPr>
      <w:r>
        <w:rPr>
          <w:b/>
          <w:u w:val="single"/>
        </w:rPr>
        <w:t>24</w:t>
      </w:r>
      <w:r w:rsidRPr="00CE2032">
        <w:rPr>
          <w:b/>
          <w:u w:val="single"/>
        </w:rPr>
        <w:t xml:space="preserve">. </w:t>
      </w:r>
      <w:r w:rsidRPr="00843AE3">
        <w:rPr>
          <w:bCs/>
          <w:u w:val="single"/>
        </w:rPr>
        <w:t>EC treatment of asthma</w:t>
      </w:r>
      <w:r>
        <w:rPr>
          <w:bCs/>
          <w:u w:val="single"/>
        </w:rPr>
        <w:t>.</w:t>
      </w:r>
    </w:p>
    <w:p w14:paraId="4686964A" w14:textId="77777777" w:rsidR="007902A5" w:rsidRDefault="007902A5" w:rsidP="007902A5">
      <w:pPr>
        <w:rPr>
          <w:rFonts w:ascii="MyriadPro-Cond" w:eastAsia="MyriadPro-Cond" w:cs="MyriadPro-Cond"/>
        </w:rPr>
      </w:pPr>
      <w:r>
        <w:rPr>
          <w:b/>
        </w:rPr>
        <w:t>Domain of Global Reference List:</w:t>
      </w:r>
      <w:r>
        <w:t xml:space="preserve"> Service coverage.</w:t>
      </w:r>
    </w:p>
    <w:p w14:paraId="3440680E" w14:textId="77777777" w:rsidR="007902A5" w:rsidRDefault="007902A5" w:rsidP="007902A5">
      <w:pPr>
        <w:rPr>
          <w:b/>
        </w:rPr>
      </w:pPr>
      <w:r>
        <w:rPr>
          <w:b/>
        </w:rPr>
        <w:t>Rationale:</w:t>
      </w:r>
      <w:r>
        <w:t xml:space="preserve"> It is a tracer indicator. The asthma case-fatality is an important marker of access to and the quality of health services for children and adolescents aged 5 to 19.</w:t>
      </w:r>
    </w:p>
    <w:p w14:paraId="25E4AC64" w14:textId="77777777" w:rsidR="007902A5" w:rsidRDefault="007902A5" w:rsidP="007902A5">
      <w:r>
        <w:rPr>
          <w:b/>
        </w:rPr>
        <w:t>Numerator:</w:t>
      </w:r>
      <w:r>
        <w:t xml:space="preserve"> </w:t>
      </w:r>
      <w:r w:rsidRPr="00843AE3">
        <w:t>number of deaths due to asthma in individuals aged 5–19 years</w:t>
      </w:r>
      <w:r>
        <w:t>.</w:t>
      </w:r>
    </w:p>
    <w:p w14:paraId="50B640DC" w14:textId="77777777" w:rsidR="007902A5" w:rsidRPr="00D75793" w:rsidRDefault="007902A5" w:rsidP="007902A5">
      <w:r>
        <w:rPr>
          <w:b/>
        </w:rPr>
        <w:t xml:space="preserve">Denominator: </w:t>
      </w:r>
      <w:r w:rsidRPr="00881280">
        <w:t>number of prevalent cases of asthma in individuals aged 5–19 years</w:t>
      </w:r>
      <w:r>
        <w:t>.</w:t>
      </w:r>
    </w:p>
    <w:p w14:paraId="7AE30B2A" w14:textId="77777777" w:rsidR="007902A5" w:rsidRPr="000314A2" w:rsidRDefault="007902A5" w:rsidP="007902A5">
      <w:pPr>
        <w:autoSpaceDE w:val="0"/>
        <w:autoSpaceDN w:val="0"/>
        <w:adjustRightInd w:val="0"/>
        <w:spacing w:after="0" w:line="240" w:lineRule="auto"/>
      </w:pPr>
      <w:r>
        <w:rPr>
          <w:b/>
        </w:rPr>
        <w:t xml:space="preserve">Case definition: </w:t>
      </w:r>
      <w:r w:rsidRPr="000314A2">
        <w:t xml:space="preserve">Asthma is a chronic lung disease marked by spasms in the bronchi usually resulting from an allergic reaction or hypersensitivity and causing difficulty in breathing. We define asthma as a doctor’s diagnosis and wheezing in the past year. The relevant ICD-10 codes are </w:t>
      </w:r>
      <w:r>
        <w:t>J45 and J46. ICD-9 code is 493.</w:t>
      </w:r>
    </w:p>
    <w:p w14:paraId="733042E4" w14:textId="77777777" w:rsidR="007902A5" w:rsidRPr="000314A2" w:rsidRDefault="007902A5" w:rsidP="007902A5">
      <w:pPr>
        <w:autoSpaceDE w:val="0"/>
        <w:autoSpaceDN w:val="0"/>
        <w:adjustRightInd w:val="0"/>
        <w:spacing w:after="0" w:line="240" w:lineRule="auto"/>
      </w:pPr>
    </w:p>
    <w:p w14:paraId="1D830FC1" w14:textId="77777777" w:rsidR="007902A5" w:rsidRPr="00D82096" w:rsidRDefault="007902A5" w:rsidP="007902A5">
      <w:r>
        <w:rPr>
          <w:b/>
        </w:rPr>
        <w:t xml:space="preserve">Method of measurement: </w:t>
      </w:r>
      <w:r w:rsidRPr="000314A2">
        <w:t>Data used to estimate asthma mortality included vital reg</w:t>
      </w:r>
      <w:r>
        <w:t>istration and surveillance data. For prevalence estimates, we use survey data, hospital discharges and claims data from the United States.</w:t>
      </w:r>
    </w:p>
    <w:p w14:paraId="48001A62" w14:textId="77777777" w:rsidR="007902A5" w:rsidRDefault="007902A5" w:rsidP="007902A5">
      <w:pPr>
        <w:rPr>
          <w:rFonts w:ascii="MyriadPro-Cond" w:eastAsia="MyriadPro-Cond" w:cs="MyriadPro-Cond"/>
        </w:rPr>
      </w:pPr>
      <w:r>
        <w:rPr>
          <w:b/>
        </w:rPr>
        <w:t>Measurement frequency:</w:t>
      </w:r>
      <w:r>
        <w:t xml:space="preserve"> Annual.</w:t>
      </w:r>
    </w:p>
    <w:p w14:paraId="4700EF14" w14:textId="77777777" w:rsidR="007902A5" w:rsidRDefault="007902A5" w:rsidP="007902A5">
      <w:r>
        <w:rPr>
          <w:b/>
        </w:rPr>
        <w:t>Monitoring and evaluation framework:</w:t>
      </w:r>
      <w:r>
        <w:t xml:space="preserve"> Outcome.</w:t>
      </w:r>
    </w:p>
    <w:p w14:paraId="09E0A511" w14:textId="5FDDB0BA" w:rsidR="007902A5" w:rsidRDefault="007902A5" w:rsidP="007902A5">
      <w:pPr>
        <w:rPr>
          <w:rFonts w:ascii="MyriadPro-Cond" w:eastAsia="MyriadPro-Cond" w:cs="MyriadPro-Cond"/>
        </w:rPr>
      </w:pPr>
      <w:r>
        <w:rPr>
          <w:b/>
        </w:rPr>
        <w:t>Preferred data sources:</w:t>
      </w:r>
      <w:r>
        <w:t xml:space="preserve"> Individual-level, nationally-representative survey data.</w:t>
      </w:r>
      <w:r w:rsidR="00605DD9">
        <w:t xml:space="preserve"> CRVS, Censuses, WPP</w:t>
      </w:r>
      <w:r w:rsidR="00605DD9" w:rsidRPr="00605DD9">
        <w:t>; verbal autopsy studies; CHAMPs</w:t>
      </w:r>
      <w:r w:rsidR="00605DD9">
        <w:t>.</w:t>
      </w:r>
    </w:p>
    <w:p w14:paraId="0A2925A4" w14:textId="139D6FFA" w:rsidR="007902A5" w:rsidRPr="00610D00" w:rsidRDefault="007902A5" w:rsidP="007902A5"/>
    <w:p w14:paraId="6795BB59" w14:textId="77777777" w:rsidR="007902A5" w:rsidRDefault="007902A5" w:rsidP="007902A5">
      <w:pPr>
        <w:rPr>
          <w:b/>
        </w:rPr>
      </w:pPr>
    </w:p>
    <w:p w14:paraId="76413D10" w14:textId="77777777" w:rsidR="007902A5" w:rsidRDefault="007902A5" w:rsidP="007902A5">
      <w:pPr>
        <w:rPr>
          <w:b/>
        </w:rPr>
      </w:pPr>
    </w:p>
    <w:p w14:paraId="3FD0990E" w14:textId="77777777" w:rsidR="007902A5" w:rsidRDefault="007902A5" w:rsidP="007902A5">
      <w:pPr>
        <w:rPr>
          <w:b/>
        </w:rPr>
      </w:pPr>
    </w:p>
    <w:p w14:paraId="408C8CDF" w14:textId="77777777" w:rsidR="007902A5" w:rsidRDefault="007902A5" w:rsidP="007902A5">
      <w:pPr>
        <w:rPr>
          <w:b/>
        </w:rPr>
      </w:pPr>
    </w:p>
    <w:p w14:paraId="6B05183B" w14:textId="77777777" w:rsidR="007902A5" w:rsidRDefault="007902A5" w:rsidP="007902A5">
      <w:pPr>
        <w:rPr>
          <w:b/>
        </w:rPr>
      </w:pPr>
    </w:p>
    <w:p w14:paraId="3D7F8BBD" w14:textId="77777777" w:rsidR="007902A5" w:rsidRDefault="007902A5" w:rsidP="007902A5">
      <w:pPr>
        <w:rPr>
          <w:b/>
        </w:rPr>
      </w:pPr>
    </w:p>
    <w:p w14:paraId="6120B8AF" w14:textId="77777777" w:rsidR="007902A5" w:rsidRDefault="007902A5" w:rsidP="007902A5">
      <w:pPr>
        <w:rPr>
          <w:b/>
        </w:rPr>
      </w:pPr>
    </w:p>
    <w:p w14:paraId="3F5A0869" w14:textId="77777777" w:rsidR="007902A5" w:rsidRDefault="007902A5" w:rsidP="007902A5">
      <w:pPr>
        <w:rPr>
          <w:b/>
        </w:rPr>
      </w:pPr>
    </w:p>
    <w:p w14:paraId="7C018121" w14:textId="77777777" w:rsidR="007902A5" w:rsidRDefault="007902A5" w:rsidP="007902A5">
      <w:pPr>
        <w:rPr>
          <w:b/>
        </w:rPr>
      </w:pPr>
    </w:p>
    <w:p w14:paraId="4151A15F" w14:textId="3BF014A3" w:rsidR="007902A5" w:rsidRDefault="007902A5" w:rsidP="007902A5">
      <w:pPr>
        <w:rPr>
          <w:b/>
        </w:rPr>
      </w:pPr>
    </w:p>
    <w:p w14:paraId="73A89C57" w14:textId="77777777" w:rsidR="007902A5" w:rsidRPr="00CE2032" w:rsidRDefault="007902A5" w:rsidP="007902A5">
      <w:pPr>
        <w:rPr>
          <w:u w:val="single"/>
        </w:rPr>
      </w:pPr>
      <w:r>
        <w:rPr>
          <w:b/>
          <w:u w:val="single"/>
        </w:rPr>
        <w:t>25</w:t>
      </w:r>
      <w:r w:rsidRPr="00CE2032">
        <w:rPr>
          <w:b/>
          <w:u w:val="single"/>
        </w:rPr>
        <w:t xml:space="preserve">. </w:t>
      </w:r>
      <w:r w:rsidRPr="00881280">
        <w:rPr>
          <w:u w:val="single"/>
        </w:rPr>
        <w:t>EC dental care</w:t>
      </w:r>
      <w:r w:rsidRPr="00CE2032">
        <w:rPr>
          <w:u w:val="single"/>
        </w:rPr>
        <w:t>.</w:t>
      </w:r>
    </w:p>
    <w:p w14:paraId="2682A5DA" w14:textId="77777777" w:rsidR="007902A5" w:rsidRDefault="007902A5" w:rsidP="007902A5">
      <w:pPr>
        <w:rPr>
          <w:rFonts w:ascii="MyriadPro-Cond" w:eastAsia="MyriadPro-Cond" w:cs="MyriadPro-Cond"/>
        </w:rPr>
      </w:pPr>
      <w:r>
        <w:rPr>
          <w:b/>
        </w:rPr>
        <w:t>Domain of Global Reference List:</w:t>
      </w:r>
      <w:r>
        <w:t xml:space="preserve"> Service coverage.</w:t>
      </w:r>
    </w:p>
    <w:p w14:paraId="7D215390" w14:textId="77777777" w:rsidR="007902A5" w:rsidRDefault="007902A5" w:rsidP="007902A5">
      <w:pPr>
        <w:rPr>
          <w:b/>
        </w:rPr>
      </w:pPr>
      <w:r>
        <w:rPr>
          <w:b/>
        </w:rPr>
        <w:t>Rationale:</w:t>
      </w:r>
      <w:r>
        <w:t xml:space="preserve"> It is a tracer indicator. The prevalence of dental carries is an important marker of access to and the quality of basic health care services care among individuals aged 5 to 19.</w:t>
      </w:r>
    </w:p>
    <w:p w14:paraId="028FC46F" w14:textId="77777777" w:rsidR="007902A5" w:rsidRDefault="007902A5" w:rsidP="007902A5">
      <w:r>
        <w:rPr>
          <w:b/>
        </w:rPr>
        <w:t>Numerator:</w:t>
      </w:r>
      <w:r>
        <w:t xml:space="preserve"> </w:t>
      </w:r>
      <w:r w:rsidRPr="00881280">
        <w:t>number of individuals with caries in permanent teeth</w:t>
      </w:r>
      <w:r>
        <w:t>.</w:t>
      </w:r>
    </w:p>
    <w:p w14:paraId="606F9962" w14:textId="77777777" w:rsidR="007902A5" w:rsidRPr="00573238" w:rsidRDefault="007902A5" w:rsidP="007902A5">
      <w:r>
        <w:rPr>
          <w:b/>
        </w:rPr>
        <w:t xml:space="preserve">Denominator: </w:t>
      </w:r>
      <w:r w:rsidRPr="00881280">
        <w:t>number in the whole population</w:t>
      </w:r>
      <w:r>
        <w:t>.</w:t>
      </w:r>
    </w:p>
    <w:p w14:paraId="345C3440" w14:textId="77777777" w:rsidR="007902A5" w:rsidRDefault="007902A5" w:rsidP="007902A5">
      <w:r>
        <w:rPr>
          <w:b/>
        </w:rPr>
        <w:t xml:space="preserve">Case definition: </w:t>
      </w:r>
      <w:r>
        <w:t>The case definition for dental caries is “teeth with unmistakable coronal cavity at dentin level, root cavity in cementum that feel soft or leathery to probing, temporary or permanent restorations, or missing teeth extracted due to a caries lesion.” This definition corresponds to an ICD-9 code of 521.0 and an ICD-10 code of K02.3 – K02.9. Most caries are subclinical in the sense that they do not cause symptoms a majority of the time.</w:t>
      </w:r>
    </w:p>
    <w:p w14:paraId="504D3817" w14:textId="77777777" w:rsidR="007902A5" w:rsidRPr="00A00C63" w:rsidRDefault="007902A5" w:rsidP="007902A5">
      <w:r>
        <w:rPr>
          <w:b/>
        </w:rPr>
        <w:t xml:space="preserve">Method of measurement: </w:t>
      </w:r>
      <w:r>
        <w:t>Literature data.</w:t>
      </w:r>
    </w:p>
    <w:p w14:paraId="3D6DB714" w14:textId="77777777" w:rsidR="007902A5" w:rsidRDefault="007902A5" w:rsidP="007902A5">
      <w:pPr>
        <w:rPr>
          <w:rFonts w:ascii="MyriadPro-Cond" w:eastAsia="MyriadPro-Cond" w:cs="MyriadPro-Cond"/>
        </w:rPr>
      </w:pPr>
      <w:r>
        <w:rPr>
          <w:b/>
        </w:rPr>
        <w:t>Measurement frequency:</w:t>
      </w:r>
      <w:r>
        <w:t xml:space="preserve"> Annual.</w:t>
      </w:r>
    </w:p>
    <w:p w14:paraId="3515433F" w14:textId="77777777" w:rsidR="007902A5" w:rsidRDefault="007902A5" w:rsidP="007902A5">
      <w:r>
        <w:rPr>
          <w:b/>
        </w:rPr>
        <w:t>Monitoring and evaluation framework:</w:t>
      </w:r>
      <w:r>
        <w:t xml:space="preserve"> Outcome.</w:t>
      </w:r>
    </w:p>
    <w:p w14:paraId="0BC19E95" w14:textId="77777777" w:rsidR="007902A5" w:rsidRDefault="007902A5" w:rsidP="007902A5">
      <w:pPr>
        <w:rPr>
          <w:rFonts w:ascii="MyriadPro-Cond" w:eastAsia="MyriadPro-Cond" w:cs="MyriadPro-Cond"/>
        </w:rPr>
      </w:pPr>
      <w:r>
        <w:rPr>
          <w:b/>
        </w:rPr>
        <w:t>Preferred data sources:</w:t>
      </w:r>
      <w:r>
        <w:t xml:space="preserve"> Literature data.</w:t>
      </w:r>
    </w:p>
    <w:p w14:paraId="397B7A81" w14:textId="4150C047" w:rsidR="007902A5" w:rsidRDefault="007902A5" w:rsidP="007902A5">
      <w:pPr>
        <w:rPr>
          <w:b/>
        </w:rPr>
      </w:pPr>
    </w:p>
    <w:p w14:paraId="51ED3B89" w14:textId="77777777" w:rsidR="00BC4F2E" w:rsidRDefault="00BC4F2E" w:rsidP="007902A5">
      <w:pPr>
        <w:rPr>
          <w:b/>
        </w:rPr>
      </w:pPr>
    </w:p>
    <w:p w14:paraId="51178BB7" w14:textId="77777777" w:rsidR="007902A5" w:rsidRDefault="007902A5" w:rsidP="007902A5">
      <w:pPr>
        <w:rPr>
          <w:b/>
        </w:rPr>
      </w:pPr>
    </w:p>
    <w:p w14:paraId="0F57D80E" w14:textId="77777777" w:rsidR="007902A5" w:rsidRDefault="007902A5" w:rsidP="007902A5">
      <w:pPr>
        <w:rPr>
          <w:b/>
        </w:rPr>
      </w:pPr>
    </w:p>
    <w:p w14:paraId="38084C21" w14:textId="77777777" w:rsidR="007902A5" w:rsidRDefault="007902A5" w:rsidP="007902A5">
      <w:pPr>
        <w:rPr>
          <w:b/>
        </w:rPr>
      </w:pPr>
    </w:p>
    <w:p w14:paraId="315D6CEC" w14:textId="77777777" w:rsidR="007902A5" w:rsidRDefault="007902A5" w:rsidP="007902A5">
      <w:pPr>
        <w:rPr>
          <w:b/>
        </w:rPr>
      </w:pPr>
    </w:p>
    <w:p w14:paraId="682878E4" w14:textId="77777777" w:rsidR="007902A5" w:rsidRDefault="007902A5" w:rsidP="007902A5">
      <w:pPr>
        <w:rPr>
          <w:b/>
        </w:rPr>
      </w:pPr>
    </w:p>
    <w:p w14:paraId="73B2B6E4" w14:textId="77777777" w:rsidR="007902A5" w:rsidRDefault="007902A5" w:rsidP="007902A5">
      <w:pPr>
        <w:rPr>
          <w:b/>
        </w:rPr>
      </w:pPr>
    </w:p>
    <w:p w14:paraId="2A1F3088" w14:textId="77777777" w:rsidR="007902A5" w:rsidRDefault="007902A5" w:rsidP="007902A5">
      <w:pPr>
        <w:rPr>
          <w:b/>
        </w:rPr>
      </w:pPr>
    </w:p>
    <w:p w14:paraId="7BB88D64" w14:textId="77777777" w:rsidR="00743774" w:rsidRDefault="00743774" w:rsidP="007902A5">
      <w:pPr>
        <w:rPr>
          <w:b/>
        </w:rPr>
      </w:pPr>
    </w:p>
    <w:p w14:paraId="72151CF4" w14:textId="77777777" w:rsidR="00743774" w:rsidRDefault="00743774" w:rsidP="007902A5">
      <w:pPr>
        <w:rPr>
          <w:b/>
        </w:rPr>
      </w:pPr>
    </w:p>
    <w:p w14:paraId="099593DF" w14:textId="77777777" w:rsidR="007902A5" w:rsidRDefault="007902A5" w:rsidP="007902A5">
      <w:pPr>
        <w:rPr>
          <w:b/>
        </w:rPr>
      </w:pPr>
    </w:p>
    <w:p w14:paraId="6104C135" w14:textId="77777777" w:rsidR="007902A5" w:rsidRPr="00CE2032" w:rsidRDefault="007902A5" w:rsidP="007902A5">
      <w:pPr>
        <w:rPr>
          <w:u w:val="single"/>
        </w:rPr>
      </w:pPr>
      <w:r>
        <w:rPr>
          <w:b/>
          <w:u w:val="single"/>
        </w:rPr>
        <w:t>26</w:t>
      </w:r>
      <w:r w:rsidRPr="00CE2032">
        <w:rPr>
          <w:b/>
          <w:u w:val="single"/>
        </w:rPr>
        <w:t xml:space="preserve">. </w:t>
      </w:r>
      <w:r w:rsidRPr="00881280">
        <w:rPr>
          <w:u w:val="single"/>
        </w:rPr>
        <w:t>EC treatment of breast, cervical, colorectal and uterine cancers</w:t>
      </w:r>
      <w:r w:rsidRPr="00CE2032">
        <w:rPr>
          <w:u w:val="single"/>
        </w:rPr>
        <w:t>.</w:t>
      </w:r>
    </w:p>
    <w:p w14:paraId="0E74EA92" w14:textId="77777777" w:rsidR="007902A5" w:rsidRDefault="007902A5" w:rsidP="007902A5">
      <w:pPr>
        <w:rPr>
          <w:rFonts w:ascii="MyriadPro-Cond" w:eastAsia="MyriadPro-Cond" w:cs="MyriadPro-Cond"/>
        </w:rPr>
      </w:pPr>
      <w:r w:rsidRPr="00EC6E3F">
        <w:rPr>
          <w:b/>
        </w:rPr>
        <w:t>Domain of Global Reference List:</w:t>
      </w:r>
      <w:r w:rsidRPr="00EC6E3F">
        <w:t xml:space="preserve"> Service coverage.</w:t>
      </w:r>
    </w:p>
    <w:p w14:paraId="36578E20" w14:textId="77777777" w:rsidR="007902A5" w:rsidRDefault="007902A5" w:rsidP="007902A5">
      <w:pPr>
        <w:rPr>
          <w:b/>
        </w:rPr>
      </w:pPr>
      <w:r>
        <w:rPr>
          <w:b/>
        </w:rPr>
        <w:t>Rationale:</w:t>
      </w:r>
      <w:r>
        <w:t xml:space="preserve"> It is a tracer indicator. The treatable cancers case-fatality rate is a marker of the access to and quality of health services for adults.</w:t>
      </w:r>
    </w:p>
    <w:p w14:paraId="57F4261C" w14:textId="77777777" w:rsidR="007902A5" w:rsidRDefault="007902A5" w:rsidP="007902A5">
      <w:r>
        <w:rPr>
          <w:b/>
        </w:rPr>
        <w:t>Numerator:</w:t>
      </w:r>
      <w:r>
        <w:t xml:space="preserve"> </w:t>
      </w:r>
      <w:r w:rsidRPr="00881280">
        <w:t>number of deaths due to each cancer</w:t>
      </w:r>
      <w:r>
        <w:t>.</w:t>
      </w:r>
    </w:p>
    <w:p w14:paraId="4C66DAC2" w14:textId="77777777" w:rsidR="007902A5" w:rsidRDefault="007902A5" w:rsidP="007902A5">
      <w:pPr>
        <w:pStyle w:val="ListParagraph"/>
        <w:ind w:left="0"/>
      </w:pPr>
      <w:r>
        <w:rPr>
          <w:b/>
        </w:rPr>
        <w:t>Denominator:</w:t>
      </w:r>
      <w:r w:rsidRPr="00D819FB">
        <w:t xml:space="preserve"> </w:t>
      </w:r>
      <w:r>
        <w:t xml:space="preserve"> </w:t>
      </w:r>
      <w:r w:rsidRPr="00881280">
        <w:t>number of incident cases of each cancer (The effective coverage is calculated for each of the four cancers separately)</w:t>
      </w:r>
      <w:r>
        <w:t>.</w:t>
      </w:r>
    </w:p>
    <w:p w14:paraId="20E33578" w14:textId="77777777" w:rsidR="007902A5" w:rsidRDefault="007902A5" w:rsidP="007902A5">
      <w:pPr>
        <w:autoSpaceDE w:val="0"/>
        <w:autoSpaceDN w:val="0"/>
        <w:adjustRightInd w:val="0"/>
        <w:spacing w:after="0" w:line="240" w:lineRule="auto"/>
      </w:pPr>
      <w:r>
        <w:rPr>
          <w:b/>
        </w:rPr>
        <w:t xml:space="preserve">Case definition: </w:t>
      </w:r>
      <w:r>
        <w:t>The ICD10 codes are below:</w:t>
      </w:r>
    </w:p>
    <w:p w14:paraId="47871323" w14:textId="77777777" w:rsidR="007902A5" w:rsidRDefault="007902A5" w:rsidP="007902A5">
      <w:pPr>
        <w:pStyle w:val="ListParagraph"/>
        <w:numPr>
          <w:ilvl w:val="0"/>
          <w:numId w:val="46"/>
        </w:numPr>
        <w:autoSpaceDE w:val="0"/>
        <w:autoSpaceDN w:val="0"/>
        <w:adjustRightInd w:val="0"/>
        <w:spacing w:after="0" w:line="240" w:lineRule="auto"/>
        <w:rPr>
          <w:rFonts w:cstheme="minorHAnsi"/>
          <w:szCs w:val="12"/>
        </w:rPr>
      </w:pPr>
      <w:r>
        <w:rPr>
          <w:rFonts w:cstheme="minorHAnsi"/>
          <w:szCs w:val="12"/>
        </w:rPr>
        <w:t xml:space="preserve">Breast cancer C50-C50.9, D05-D05.9, D24-D24.9, D48.6, D49.3 </w:t>
      </w:r>
    </w:p>
    <w:p w14:paraId="23F5F7B0" w14:textId="77777777" w:rsidR="007902A5" w:rsidRDefault="007902A5" w:rsidP="007902A5">
      <w:pPr>
        <w:pStyle w:val="ListParagraph"/>
        <w:numPr>
          <w:ilvl w:val="0"/>
          <w:numId w:val="46"/>
        </w:numPr>
        <w:autoSpaceDE w:val="0"/>
        <w:autoSpaceDN w:val="0"/>
        <w:adjustRightInd w:val="0"/>
        <w:spacing w:after="0" w:line="240" w:lineRule="auto"/>
      </w:pPr>
      <w:r>
        <w:t>Cervical cancer C53-C53.9, D06-D06.9, D26.0</w:t>
      </w:r>
    </w:p>
    <w:p w14:paraId="2E2BE9D7" w14:textId="77777777" w:rsidR="007902A5" w:rsidRDefault="007902A5" w:rsidP="007902A5">
      <w:pPr>
        <w:pStyle w:val="ListParagraph"/>
        <w:numPr>
          <w:ilvl w:val="0"/>
          <w:numId w:val="46"/>
        </w:numPr>
        <w:autoSpaceDE w:val="0"/>
        <w:autoSpaceDN w:val="0"/>
        <w:adjustRightInd w:val="0"/>
        <w:spacing w:after="0" w:line="240" w:lineRule="auto"/>
      </w:pPr>
      <w:r>
        <w:t>Uterine cancer C54-C54.9, D07.0-D07.2, D26.1-D26.9</w:t>
      </w:r>
    </w:p>
    <w:p w14:paraId="65B69AD8" w14:textId="77777777" w:rsidR="007902A5" w:rsidRDefault="007902A5" w:rsidP="007902A5">
      <w:pPr>
        <w:pStyle w:val="ListParagraph"/>
        <w:numPr>
          <w:ilvl w:val="0"/>
          <w:numId w:val="46"/>
        </w:numPr>
        <w:autoSpaceDE w:val="0"/>
        <w:autoSpaceDN w:val="0"/>
        <w:adjustRightInd w:val="0"/>
        <w:spacing w:after="0" w:line="240" w:lineRule="auto"/>
      </w:pPr>
      <w:r>
        <w:t>Colon and rectum cancer C18-C21.9, D01.0-D01.3, D12-D12.9, D37.3-D37.5</w:t>
      </w:r>
    </w:p>
    <w:p w14:paraId="295F4416" w14:textId="77777777" w:rsidR="007902A5" w:rsidRDefault="007902A5" w:rsidP="007902A5">
      <w:pPr>
        <w:autoSpaceDE w:val="0"/>
        <w:autoSpaceDN w:val="0"/>
        <w:adjustRightInd w:val="0"/>
        <w:spacing w:after="0" w:line="240" w:lineRule="auto"/>
        <w:rPr>
          <w:rFonts w:ascii="Calibri-Light" w:hAnsi="Calibri-Light" w:cs="Calibri-Light"/>
        </w:rPr>
      </w:pPr>
    </w:p>
    <w:p w14:paraId="46C3BDE2" w14:textId="6E6C7A9C" w:rsidR="007902A5" w:rsidRDefault="007902A5" w:rsidP="007902A5">
      <w:pPr>
        <w:autoSpaceDE w:val="0"/>
        <w:autoSpaceDN w:val="0"/>
        <w:adjustRightInd w:val="0"/>
        <w:spacing w:after="0" w:line="240" w:lineRule="auto"/>
        <w:rPr>
          <w:b/>
        </w:rPr>
      </w:pPr>
      <w:r>
        <w:rPr>
          <w:b/>
        </w:rPr>
        <w:t xml:space="preserve">Method of measurement: </w:t>
      </w:r>
      <w:r>
        <w:t xml:space="preserve">For mortality, data sources include vital registration, verbal autopsy, and cancer registry data. Cancer incidence is directly estimated from cancer mortality using mortality to incidence ratios (MIRs). </w:t>
      </w:r>
    </w:p>
    <w:p w14:paraId="5E58624A" w14:textId="77777777" w:rsidR="007902A5" w:rsidRDefault="007902A5" w:rsidP="007902A5">
      <w:pPr>
        <w:autoSpaceDE w:val="0"/>
        <w:autoSpaceDN w:val="0"/>
        <w:adjustRightInd w:val="0"/>
        <w:spacing w:after="0" w:line="240" w:lineRule="auto"/>
      </w:pPr>
    </w:p>
    <w:p w14:paraId="7FBF8CE4" w14:textId="77777777" w:rsidR="007902A5" w:rsidRPr="00CE2032" w:rsidRDefault="007902A5" w:rsidP="007902A5">
      <w:pPr>
        <w:rPr>
          <w:rFonts w:ascii="MyriadPro-Cond" w:eastAsia="MyriadPro-Cond" w:cs="MyriadPro-Cond"/>
        </w:rPr>
      </w:pPr>
      <w:r w:rsidRPr="00CE2032">
        <w:rPr>
          <w:b/>
        </w:rPr>
        <w:t>Measurement frequency:</w:t>
      </w:r>
      <w:r w:rsidRPr="00CE2032">
        <w:t xml:space="preserve"> Annual.</w:t>
      </w:r>
    </w:p>
    <w:p w14:paraId="728D0920" w14:textId="77777777" w:rsidR="007902A5" w:rsidRPr="00CE2032" w:rsidRDefault="007902A5" w:rsidP="007902A5">
      <w:r w:rsidRPr="00CE2032">
        <w:rPr>
          <w:b/>
        </w:rPr>
        <w:t>Monitoring and evaluation framework:</w:t>
      </w:r>
      <w:r w:rsidRPr="00CE2032">
        <w:t xml:space="preserve"> Outcome.</w:t>
      </w:r>
    </w:p>
    <w:p w14:paraId="27A40C09" w14:textId="77777777" w:rsidR="007902A5" w:rsidRPr="00CE2032" w:rsidRDefault="007902A5" w:rsidP="007902A5">
      <w:r w:rsidRPr="00CE2032">
        <w:rPr>
          <w:b/>
        </w:rPr>
        <w:t>Preferred data sources:</w:t>
      </w:r>
      <w:r w:rsidRPr="00CE2032">
        <w:t xml:space="preserve"> Cancer registry data and Vital Statistics</w:t>
      </w:r>
    </w:p>
    <w:p w14:paraId="5B6E6F0A" w14:textId="77777777" w:rsidR="007902A5" w:rsidRPr="00CE2032" w:rsidRDefault="007902A5" w:rsidP="007902A5">
      <w:pPr>
        <w:rPr>
          <w:rFonts w:ascii="MyriadPro-Cond" w:eastAsia="MyriadPro-Cond" w:cs="MyriadPro-Cond"/>
        </w:rPr>
      </w:pPr>
    </w:p>
    <w:p w14:paraId="36A6AE32" w14:textId="359F74CE" w:rsidR="007902A5" w:rsidRPr="00610D00" w:rsidRDefault="007902A5" w:rsidP="007902A5">
      <w:r>
        <w:rPr>
          <w:b/>
        </w:rPr>
        <w:t xml:space="preserve"> </w:t>
      </w:r>
    </w:p>
    <w:p w14:paraId="33758CA8" w14:textId="77777777" w:rsidR="007902A5" w:rsidRDefault="007902A5" w:rsidP="007902A5">
      <w:pPr>
        <w:rPr>
          <w:b/>
        </w:rPr>
      </w:pPr>
    </w:p>
    <w:p w14:paraId="3FA1D05D" w14:textId="77777777" w:rsidR="007902A5" w:rsidRDefault="007902A5" w:rsidP="007902A5">
      <w:pPr>
        <w:rPr>
          <w:b/>
        </w:rPr>
      </w:pPr>
    </w:p>
    <w:p w14:paraId="3DC356A1" w14:textId="77777777" w:rsidR="007902A5" w:rsidRDefault="007902A5" w:rsidP="007902A5">
      <w:pPr>
        <w:rPr>
          <w:b/>
        </w:rPr>
      </w:pPr>
    </w:p>
    <w:p w14:paraId="09DF25F9" w14:textId="77777777" w:rsidR="007902A5" w:rsidRDefault="007902A5" w:rsidP="007902A5">
      <w:pPr>
        <w:rPr>
          <w:b/>
        </w:rPr>
      </w:pPr>
    </w:p>
    <w:p w14:paraId="50C07FDF" w14:textId="77777777" w:rsidR="007902A5" w:rsidRDefault="007902A5" w:rsidP="007902A5">
      <w:pPr>
        <w:rPr>
          <w:b/>
        </w:rPr>
      </w:pPr>
    </w:p>
    <w:p w14:paraId="03F6739E" w14:textId="77777777" w:rsidR="007902A5" w:rsidRDefault="007902A5" w:rsidP="007902A5">
      <w:pPr>
        <w:rPr>
          <w:b/>
        </w:rPr>
      </w:pPr>
    </w:p>
    <w:p w14:paraId="20BE3391" w14:textId="77777777" w:rsidR="007902A5" w:rsidRDefault="007902A5" w:rsidP="007902A5">
      <w:pPr>
        <w:rPr>
          <w:b/>
        </w:rPr>
      </w:pPr>
    </w:p>
    <w:p w14:paraId="53A13A23" w14:textId="3D8E2825" w:rsidR="007902A5" w:rsidRDefault="007902A5" w:rsidP="007902A5">
      <w:pPr>
        <w:rPr>
          <w:b/>
        </w:rPr>
      </w:pPr>
    </w:p>
    <w:p w14:paraId="1E923722" w14:textId="77777777" w:rsidR="007902A5" w:rsidRDefault="007902A5" w:rsidP="007902A5">
      <w:pPr>
        <w:rPr>
          <w:b/>
        </w:rPr>
      </w:pPr>
    </w:p>
    <w:p w14:paraId="6B4024C8" w14:textId="422B9F7C" w:rsidR="007902A5" w:rsidRPr="00CE2032" w:rsidRDefault="007902A5" w:rsidP="007902A5">
      <w:pPr>
        <w:rPr>
          <w:u w:val="single"/>
        </w:rPr>
      </w:pPr>
      <w:r>
        <w:rPr>
          <w:b/>
          <w:u w:val="single"/>
        </w:rPr>
        <w:t>27</w:t>
      </w:r>
      <w:r w:rsidRPr="00CE2032">
        <w:rPr>
          <w:b/>
          <w:u w:val="single"/>
        </w:rPr>
        <w:t xml:space="preserve">. </w:t>
      </w:r>
      <w:r w:rsidRPr="00881280">
        <w:rPr>
          <w:u w:val="single"/>
        </w:rPr>
        <w:t>EC treatment for ischaemic heart disease</w:t>
      </w:r>
      <w:r w:rsidRPr="00CE2032">
        <w:rPr>
          <w:u w:val="single"/>
        </w:rPr>
        <w:t>.</w:t>
      </w:r>
    </w:p>
    <w:p w14:paraId="16D00538" w14:textId="77777777" w:rsidR="007902A5" w:rsidRDefault="007902A5" w:rsidP="007902A5">
      <w:pPr>
        <w:rPr>
          <w:rFonts w:ascii="MyriadPro-Cond" w:eastAsia="MyriadPro-Cond" w:cs="MyriadPro-Cond"/>
        </w:rPr>
      </w:pPr>
      <w:r>
        <w:rPr>
          <w:b/>
        </w:rPr>
        <w:t>Domain of Global Reference List:</w:t>
      </w:r>
      <w:r>
        <w:t xml:space="preserve"> Service coverage.</w:t>
      </w:r>
    </w:p>
    <w:p w14:paraId="4564F2DC" w14:textId="77777777" w:rsidR="007902A5" w:rsidRDefault="007902A5" w:rsidP="007902A5">
      <w:pPr>
        <w:rPr>
          <w:b/>
        </w:rPr>
      </w:pPr>
      <w:r>
        <w:rPr>
          <w:b/>
        </w:rPr>
        <w:t>Rationale:</w:t>
      </w:r>
      <w:r>
        <w:t xml:space="preserve"> It is a tracer indicator. Ischemic heart disease is a major cause of death and disease globally and treatment of ischemic heart disease is a marker of access to and quality of essential health care services.</w:t>
      </w:r>
    </w:p>
    <w:p w14:paraId="4CC5C0A1" w14:textId="77777777" w:rsidR="007902A5" w:rsidRDefault="007902A5" w:rsidP="007902A5">
      <w:r>
        <w:rPr>
          <w:b/>
        </w:rPr>
        <w:t>Numerator:</w:t>
      </w:r>
      <w:r>
        <w:t xml:space="preserve"> </w:t>
      </w:r>
      <w:r w:rsidRPr="00881280">
        <w:t>number of deaths due to ischaemic heart disease</w:t>
      </w:r>
      <w:r>
        <w:t>.</w:t>
      </w:r>
    </w:p>
    <w:p w14:paraId="597BD11B" w14:textId="77777777" w:rsidR="007902A5" w:rsidRPr="00D75793" w:rsidRDefault="007902A5" w:rsidP="007902A5">
      <w:r>
        <w:rPr>
          <w:b/>
        </w:rPr>
        <w:t xml:space="preserve">Denominator: </w:t>
      </w:r>
      <w:r w:rsidRPr="00881280">
        <w:t>number of incident cases of ischaemic heart disease</w:t>
      </w:r>
      <w:r>
        <w:t>.</w:t>
      </w:r>
    </w:p>
    <w:p w14:paraId="7E11D2DE" w14:textId="77777777" w:rsidR="007902A5" w:rsidRDefault="007902A5" w:rsidP="007902A5">
      <w:pPr>
        <w:autoSpaceDE w:val="0"/>
        <w:autoSpaceDN w:val="0"/>
        <w:adjustRightInd w:val="0"/>
        <w:spacing w:after="0" w:line="240" w:lineRule="auto"/>
        <w:rPr>
          <w:b/>
        </w:rPr>
      </w:pPr>
      <w:r>
        <w:rPr>
          <w:b/>
        </w:rPr>
        <w:t xml:space="preserve">Case definition: </w:t>
      </w:r>
    </w:p>
    <w:p w14:paraId="0CD39B98" w14:textId="77777777" w:rsidR="007902A5" w:rsidRDefault="007902A5" w:rsidP="007902A5">
      <w:pPr>
        <w:autoSpaceDE w:val="0"/>
        <w:autoSpaceDN w:val="0"/>
        <w:adjustRightInd w:val="0"/>
        <w:spacing w:after="0" w:line="240" w:lineRule="auto"/>
      </w:pPr>
      <w:r w:rsidRPr="00D2120D">
        <w:t>1) Acute myocardial infarction (MI): Definite and possible MI according to the third universal definition of myocardial infarction:</w:t>
      </w:r>
    </w:p>
    <w:p w14:paraId="2D04BCF5" w14:textId="77777777" w:rsidR="007902A5" w:rsidRDefault="007902A5" w:rsidP="007902A5">
      <w:pPr>
        <w:pStyle w:val="ListParagraph"/>
        <w:numPr>
          <w:ilvl w:val="0"/>
          <w:numId w:val="43"/>
        </w:numPr>
        <w:autoSpaceDE w:val="0"/>
        <w:autoSpaceDN w:val="0"/>
        <w:adjustRightInd w:val="0"/>
        <w:spacing w:after="0" w:line="240" w:lineRule="auto"/>
        <w:ind w:left="360"/>
      </w:pPr>
      <w:r w:rsidRPr="00D2120D">
        <w:t>When there is clinical evidence of myocardial necrosis in a clinical setting consistent with myocardial ischaemia or</w:t>
      </w:r>
      <w:r>
        <w:t xml:space="preserve"> </w:t>
      </w:r>
    </w:p>
    <w:p w14:paraId="29D1D953" w14:textId="77777777" w:rsidR="007902A5" w:rsidRDefault="007902A5" w:rsidP="007902A5">
      <w:pPr>
        <w:pStyle w:val="ListParagraph"/>
        <w:numPr>
          <w:ilvl w:val="0"/>
          <w:numId w:val="43"/>
        </w:numPr>
        <w:autoSpaceDE w:val="0"/>
        <w:autoSpaceDN w:val="0"/>
        <w:adjustRightInd w:val="0"/>
        <w:spacing w:after="0" w:line="240" w:lineRule="auto"/>
        <w:ind w:left="360"/>
      </w:pPr>
      <w:r w:rsidRPr="00D2120D">
        <w:t>Detection of a rise and/or fall of cardiac biomarker values and with at least one of the following: i) symptoms of ischaemia, ii) new or presumed new ST-segment-T wave changes or new left bundle branch block, iii) development of pathological Q waves in the ECG, iv) imaging evidence of new loss of viable myocardium or new regional wall motion abnormality, or v) identification of an intracoronary thrombus by angiography or autopsy.</w:t>
      </w:r>
      <w:r>
        <w:t xml:space="preserve"> </w:t>
      </w:r>
    </w:p>
    <w:p w14:paraId="728B0237" w14:textId="77777777" w:rsidR="007902A5" w:rsidRPr="00D2120D" w:rsidRDefault="007902A5" w:rsidP="007902A5">
      <w:pPr>
        <w:pStyle w:val="ListParagraph"/>
        <w:numPr>
          <w:ilvl w:val="0"/>
          <w:numId w:val="43"/>
        </w:numPr>
        <w:autoSpaceDE w:val="0"/>
        <w:autoSpaceDN w:val="0"/>
        <w:adjustRightInd w:val="0"/>
        <w:spacing w:after="0" w:line="240" w:lineRule="auto"/>
        <w:ind w:left="360"/>
      </w:pPr>
      <w:r w:rsidRPr="00D2120D">
        <w:t>Sudden (abrupt) unexplained cardiac death, involving cardiac arrest or no evidence of a non-coronary cause of death</w:t>
      </w:r>
    </w:p>
    <w:p w14:paraId="59E0F99B" w14:textId="77777777" w:rsidR="007902A5" w:rsidRPr="00D2120D" w:rsidRDefault="007902A5" w:rsidP="007902A5">
      <w:pPr>
        <w:pStyle w:val="ListParagraph"/>
        <w:numPr>
          <w:ilvl w:val="0"/>
          <w:numId w:val="43"/>
        </w:numPr>
        <w:autoSpaceDE w:val="0"/>
        <w:autoSpaceDN w:val="0"/>
        <w:adjustRightInd w:val="0"/>
        <w:spacing w:after="0" w:line="240" w:lineRule="auto"/>
        <w:ind w:left="360"/>
      </w:pPr>
      <w:r w:rsidRPr="00D2120D">
        <w:t>Prevalent MI is considered to last from the onset of the event to 28 days after the event and is divided into an acute phase (0 2 days) and subacute (3 28 days).</w:t>
      </w:r>
    </w:p>
    <w:p w14:paraId="26D49271" w14:textId="77777777" w:rsidR="007902A5" w:rsidRPr="00D2120D" w:rsidRDefault="007902A5" w:rsidP="007902A5">
      <w:pPr>
        <w:autoSpaceDE w:val="0"/>
        <w:autoSpaceDN w:val="0"/>
        <w:adjustRightInd w:val="0"/>
        <w:spacing w:after="0" w:line="240" w:lineRule="auto"/>
      </w:pPr>
    </w:p>
    <w:p w14:paraId="4402B871" w14:textId="77777777" w:rsidR="007902A5" w:rsidRDefault="007902A5" w:rsidP="007902A5">
      <w:pPr>
        <w:autoSpaceDE w:val="0"/>
        <w:autoSpaceDN w:val="0"/>
        <w:adjustRightInd w:val="0"/>
        <w:spacing w:after="0" w:line="240" w:lineRule="auto"/>
      </w:pPr>
      <w:r w:rsidRPr="00D2120D">
        <w:t>2) Chronic IHD:</w:t>
      </w:r>
    </w:p>
    <w:p w14:paraId="376A9427" w14:textId="77777777" w:rsidR="007902A5" w:rsidRPr="00D2120D" w:rsidRDefault="007902A5" w:rsidP="007902A5">
      <w:pPr>
        <w:autoSpaceDE w:val="0"/>
        <w:autoSpaceDN w:val="0"/>
        <w:adjustRightInd w:val="0"/>
        <w:spacing w:after="0" w:line="240" w:lineRule="auto"/>
      </w:pPr>
    </w:p>
    <w:p w14:paraId="0EC2727D" w14:textId="77777777" w:rsidR="007902A5" w:rsidRPr="00D2120D" w:rsidRDefault="007902A5" w:rsidP="007902A5">
      <w:pPr>
        <w:pStyle w:val="ListParagraph"/>
        <w:numPr>
          <w:ilvl w:val="0"/>
          <w:numId w:val="44"/>
        </w:numPr>
        <w:autoSpaceDE w:val="0"/>
        <w:autoSpaceDN w:val="0"/>
        <w:adjustRightInd w:val="0"/>
        <w:spacing w:after="0" w:line="240" w:lineRule="auto"/>
      </w:pPr>
      <w:r w:rsidRPr="00D2120D">
        <w:t>Angina; clinically diagnosed stable exertional angina pectoris or definite angina pectoris according to the Rose Angina Questionnaire, physician diagnosis, or taking nitrate medication for the relief of chest pain.</w:t>
      </w:r>
    </w:p>
    <w:p w14:paraId="4CCE601C" w14:textId="2E5F9468" w:rsidR="007902A5" w:rsidRPr="00BC4F2E" w:rsidRDefault="007902A5" w:rsidP="003A5942">
      <w:pPr>
        <w:pStyle w:val="ListParagraph"/>
        <w:numPr>
          <w:ilvl w:val="0"/>
          <w:numId w:val="44"/>
        </w:numPr>
        <w:autoSpaceDE w:val="0"/>
        <w:autoSpaceDN w:val="0"/>
        <w:adjustRightInd w:val="0"/>
        <w:spacing w:after="0" w:line="240" w:lineRule="auto"/>
        <w:rPr>
          <w:rFonts w:ascii="Calibri" w:hAnsi="Calibri" w:cs="Calibri"/>
        </w:rPr>
      </w:pPr>
      <w:r w:rsidRPr="00D2120D">
        <w:t>Asymptomatic ischaemic heart disease following myocardial infarction; survival to 28 days following incident MI. The GBD study does not use estimates based on ECG evidence for prior MI, due to its limited specificity and</w:t>
      </w:r>
      <w:r>
        <w:t xml:space="preserve"> sensitivity</w:t>
      </w:r>
      <w:r w:rsidRPr="00D2120D">
        <w:t>.</w:t>
      </w:r>
      <w:r w:rsidR="00BC4F2E">
        <w:t xml:space="preserve"> </w:t>
      </w:r>
      <w:r w:rsidRPr="00BC4F2E">
        <w:rPr>
          <w:rFonts w:ascii="Calibri" w:hAnsi="Calibri" w:cs="Calibri"/>
        </w:rPr>
        <w:t xml:space="preserve">The ICD10 codes are I20-I25.9 </w:t>
      </w:r>
    </w:p>
    <w:p w14:paraId="2449E9FD" w14:textId="77777777" w:rsidR="007902A5" w:rsidRPr="00E41CA2" w:rsidRDefault="007902A5" w:rsidP="007902A5">
      <w:pPr>
        <w:autoSpaceDE w:val="0"/>
        <w:autoSpaceDN w:val="0"/>
        <w:adjustRightInd w:val="0"/>
        <w:spacing w:after="0" w:line="240" w:lineRule="auto"/>
        <w:rPr>
          <w:rFonts w:ascii="Calibri-Light" w:hAnsi="Calibri-Light" w:cs="Calibri-Light"/>
        </w:rPr>
      </w:pPr>
    </w:p>
    <w:p w14:paraId="42A26441" w14:textId="77777777" w:rsidR="007902A5" w:rsidRPr="00BE1770" w:rsidRDefault="007902A5" w:rsidP="007902A5">
      <w:r>
        <w:rPr>
          <w:b/>
        </w:rPr>
        <w:t xml:space="preserve">Method of measurement: </w:t>
      </w:r>
      <w:r w:rsidRPr="00BE1770">
        <w:t xml:space="preserve">Vital registration, </w:t>
      </w:r>
      <w:r>
        <w:t xml:space="preserve">to estimate </w:t>
      </w:r>
      <w:r w:rsidRPr="00BE1770">
        <w:t>ischaemic heart disease mortality.</w:t>
      </w:r>
      <w:r>
        <w:t xml:space="preserve"> </w:t>
      </w:r>
      <w:r w:rsidRPr="00BE1770">
        <w:t>Hospital</w:t>
      </w:r>
      <w:r>
        <w:t xml:space="preserve"> discharges</w:t>
      </w:r>
      <w:r w:rsidRPr="00BE1770">
        <w:t>, inpatient, survey, and US claims data were used to estimate IHD incidence.</w:t>
      </w:r>
    </w:p>
    <w:p w14:paraId="6AECE72E" w14:textId="77777777" w:rsidR="007902A5" w:rsidRDefault="007902A5" w:rsidP="007902A5">
      <w:pPr>
        <w:autoSpaceDE w:val="0"/>
        <w:autoSpaceDN w:val="0"/>
        <w:adjustRightInd w:val="0"/>
        <w:spacing w:after="0" w:line="240" w:lineRule="auto"/>
      </w:pPr>
      <w:r>
        <w:rPr>
          <w:b/>
        </w:rPr>
        <w:t>Measurement frequency:</w:t>
      </w:r>
      <w:r>
        <w:t xml:space="preserve"> Annual.</w:t>
      </w:r>
    </w:p>
    <w:p w14:paraId="1D6DBA30" w14:textId="77777777" w:rsidR="007902A5" w:rsidRDefault="007902A5" w:rsidP="007902A5">
      <w:pPr>
        <w:autoSpaceDE w:val="0"/>
        <w:autoSpaceDN w:val="0"/>
        <w:adjustRightInd w:val="0"/>
        <w:spacing w:after="0" w:line="240" w:lineRule="auto"/>
        <w:rPr>
          <w:rFonts w:ascii="MyriadPro-Cond" w:eastAsia="MyriadPro-Cond" w:cs="MyriadPro-Cond"/>
        </w:rPr>
      </w:pPr>
    </w:p>
    <w:p w14:paraId="158C7B43" w14:textId="77777777" w:rsidR="007902A5" w:rsidRDefault="007902A5" w:rsidP="007902A5">
      <w:r>
        <w:rPr>
          <w:b/>
        </w:rPr>
        <w:t>Monitoring and evaluation framework:</w:t>
      </w:r>
      <w:r>
        <w:t xml:space="preserve"> Outcome.</w:t>
      </w:r>
    </w:p>
    <w:p w14:paraId="4961792E" w14:textId="77777777" w:rsidR="007902A5" w:rsidRDefault="007902A5" w:rsidP="007902A5">
      <w:pPr>
        <w:rPr>
          <w:rFonts w:ascii="MyriadPro-Cond" w:eastAsia="MyriadPro-Cond" w:cs="MyriadPro-Cond"/>
        </w:rPr>
      </w:pPr>
      <w:r>
        <w:rPr>
          <w:b/>
        </w:rPr>
        <w:t>Preferred data sources:</w:t>
      </w:r>
      <w:r>
        <w:t xml:space="preserve"> Individual-level, nationally-representative survey data.</w:t>
      </w:r>
    </w:p>
    <w:p w14:paraId="38FA89EF" w14:textId="1D10B53C" w:rsidR="007902A5" w:rsidRPr="007902A5" w:rsidRDefault="007902A5" w:rsidP="007902A5"/>
    <w:p w14:paraId="7CBC8294" w14:textId="77777777" w:rsidR="0062025E" w:rsidRDefault="0062025E" w:rsidP="007902A5">
      <w:pPr>
        <w:rPr>
          <w:rFonts w:cstheme="minorHAnsi"/>
          <w:b/>
          <w:u w:val="single"/>
        </w:rPr>
      </w:pPr>
    </w:p>
    <w:p w14:paraId="7E8A5523" w14:textId="0712F137" w:rsidR="007902A5" w:rsidRPr="002554F5" w:rsidRDefault="007902A5" w:rsidP="007902A5">
      <w:pPr>
        <w:rPr>
          <w:rFonts w:cstheme="minorHAnsi"/>
          <w:u w:val="single"/>
        </w:rPr>
      </w:pPr>
      <w:r>
        <w:rPr>
          <w:rFonts w:cstheme="minorHAnsi"/>
          <w:b/>
          <w:u w:val="single"/>
        </w:rPr>
        <w:t>28</w:t>
      </w:r>
      <w:r w:rsidRPr="002554F5">
        <w:rPr>
          <w:rFonts w:cstheme="minorHAnsi"/>
          <w:b/>
          <w:u w:val="single"/>
        </w:rPr>
        <w:t xml:space="preserve">. </w:t>
      </w:r>
      <w:r w:rsidRPr="00881280">
        <w:rPr>
          <w:rFonts w:cstheme="minorHAnsi"/>
          <w:bCs/>
          <w:u w:val="single"/>
        </w:rPr>
        <w:t>EC treatment for stroke</w:t>
      </w:r>
      <w:r>
        <w:rPr>
          <w:rFonts w:cstheme="minorHAnsi"/>
          <w:bCs/>
          <w:u w:val="single"/>
        </w:rPr>
        <w:t>.</w:t>
      </w:r>
    </w:p>
    <w:p w14:paraId="1BF10C37" w14:textId="77777777" w:rsidR="007902A5" w:rsidRPr="00A74C4D" w:rsidRDefault="007902A5" w:rsidP="007902A5">
      <w:pPr>
        <w:rPr>
          <w:rFonts w:eastAsia="MyriadPro-Cond" w:cstheme="minorHAnsi"/>
        </w:rPr>
      </w:pPr>
      <w:r w:rsidRPr="00A74C4D">
        <w:rPr>
          <w:rFonts w:cstheme="minorHAnsi"/>
          <w:b/>
        </w:rPr>
        <w:t>Domain of Global Reference List:</w:t>
      </w:r>
      <w:r w:rsidRPr="00A74C4D">
        <w:rPr>
          <w:rFonts w:cstheme="minorHAnsi"/>
        </w:rPr>
        <w:t xml:space="preserve"> Service coverage.</w:t>
      </w:r>
    </w:p>
    <w:p w14:paraId="096E4E0F" w14:textId="77777777" w:rsidR="007902A5" w:rsidRPr="00A74C4D" w:rsidRDefault="007902A5" w:rsidP="007902A5">
      <w:pPr>
        <w:rPr>
          <w:rFonts w:cstheme="minorHAnsi"/>
          <w:b/>
        </w:rPr>
      </w:pPr>
      <w:r w:rsidRPr="00A74C4D">
        <w:rPr>
          <w:rFonts w:cstheme="minorHAnsi"/>
          <w:b/>
        </w:rPr>
        <w:t>Rationale:</w:t>
      </w:r>
      <w:r w:rsidRPr="00A74C4D">
        <w:rPr>
          <w:rFonts w:cstheme="minorHAnsi"/>
        </w:rPr>
        <w:t xml:space="preserve"> </w:t>
      </w:r>
      <w:r>
        <w:t>It is a tracer indicator. Stroke is a major cause of death and disease globally and treatment of stroke is a marker of access to and quality of essential health care services.</w:t>
      </w:r>
    </w:p>
    <w:p w14:paraId="67B55224" w14:textId="77777777" w:rsidR="007902A5" w:rsidRPr="00A74C4D" w:rsidRDefault="007902A5" w:rsidP="007902A5">
      <w:pPr>
        <w:rPr>
          <w:rFonts w:cstheme="minorHAnsi"/>
        </w:rPr>
      </w:pPr>
      <w:r w:rsidRPr="00A74C4D">
        <w:rPr>
          <w:rFonts w:cstheme="minorHAnsi"/>
          <w:b/>
        </w:rPr>
        <w:t>Numerator:</w:t>
      </w:r>
      <w:r w:rsidRPr="00A74C4D">
        <w:rPr>
          <w:rFonts w:cstheme="minorHAnsi"/>
        </w:rPr>
        <w:t xml:space="preserve"> </w:t>
      </w:r>
      <w:r w:rsidRPr="00881280">
        <w:rPr>
          <w:rFonts w:cstheme="minorHAnsi"/>
        </w:rPr>
        <w:t>number of deaths due to stroke</w:t>
      </w:r>
      <w:r>
        <w:rPr>
          <w:rFonts w:cstheme="minorHAnsi"/>
        </w:rPr>
        <w:t xml:space="preserve">. </w:t>
      </w:r>
    </w:p>
    <w:p w14:paraId="321D0DDD" w14:textId="77777777" w:rsidR="007902A5" w:rsidRPr="00A74C4D" w:rsidRDefault="007902A5" w:rsidP="007902A5">
      <w:pPr>
        <w:rPr>
          <w:rFonts w:cstheme="minorHAnsi"/>
        </w:rPr>
      </w:pPr>
      <w:r w:rsidRPr="00A74C4D">
        <w:rPr>
          <w:rFonts w:cstheme="minorHAnsi"/>
          <w:b/>
        </w:rPr>
        <w:t xml:space="preserve">Denominator: </w:t>
      </w:r>
      <w:r w:rsidRPr="00881280">
        <w:rPr>
          <w:rFonts w:cstheme="minorHAnsi"/>
        </w:rPr>
        <w:t>number of incident cases of stroke</w:t>
      </w:r>
      <w:r>
        <w:rPr>
          <w:rFonts w:cstheme="minorHAnsi"/>
        </w:rPr>
        <w:t xml:space="preserve">. </w:t>
      </w:r>
    </w:p>
    <w:p w14:paraId="1FA9A882" w14:textId="77777777" w:rsidR="007902A5" w:rsidRPr="00A74C4D" w:rsidRDefault="007902A5" w:rsidP="007902A5">
      <w:pPr>
        <w:rPr>
          <w:rFonts w:cstheme="minorHAnsi"/>
          <w:b/>
        </w:rPr>
      </w:pPr>
      <w:r w:rsidRPr="00A74C4D">
        <w:rPr>
          <w:rFonts w:cstheme="minorHAnsi"/>
          <w:b/>
        </w:rPr>
        <w:t xml:space="preserve">Case definition: </w:t>
      </w:r>
    </w:p>
    <w:p w14:paraId="4AB2592B" w14:textId="77777777" w:rsidR="007902A5" w:rsidRPr="00A74C4D" w:rsidRDefault="007902A5" w:rsidP="007902A5">
      <w:pPr>
        <w:autoSpaceDE w:val="0"/>
        <w:autoSpaceDN w:val="0"/>
        <w:adjustRightInd w:val="0"/>
        <w:spacing w:after="0" w:line="240" w:lineRule="auto"/>
        <w:rPr>
          <w:rFonts w:cstheme="minorHAnsi"/>
          <w:sz w:val="16"/>
          <w:szCs w:val="16"/>
        </w:rPr>
      </w:pPr>
      <w:r w:rsidRPr="00A74C4D">
        <w:rPr>
          <w:rFonts w:cstheme="minorHAnsi"/>
        </w:rPr>
        <w:t>Stroke was defined according to WHO criteria rapidly developing clinical signs of focal (at times global) disturbance of cerebral function lasting more than 24 hours or leading to death with no apparent cause other than that of vascular origin (1). Data on transient ischaemic attack (TIA) were not included.</w:t>
      </w:r>
    </w:p>
    <w:p w14:paraId="3713AD93" w14:textId="77777777" w:rsidR="007902A5" w:rsidRPr="00A74C4D" w:rsidRDefault="007902A5" w:rsidP="007902A5">
      <w:pPr>
        <w:autoSpaceDE w:val="0"/>
        <w:autoSpaceDN w:val="0"/>
        <w:adjustRightInd w:val="0"/>
        <w:spacing w:after="0" w:line="240" w:lineRule="auto"/>
        <w:rPr>
          <w:rFonts w:cstheme="minorHAnsi"/>
        </w:rPr>
      </w:pPr>
    </w:p>
    <w:p w14:paraId="08F6A9E9" w14:textId="77777777" w:rsidR="007902A5" w:rsidRPr="00A74C4D" w:rsidRDefault="007902A5" w:rsidP="007902A5">
      <w:pPr>
        <w:autoSpaceDE w:val="0"/>
        <w:autoSpaceDN w:val="0"/>
        <w:adjustRightInd w:val="0"/>
        <w:spacing w:after="0" w:line="240" w:lineRule="auto"/>
        <w:rPr>
          <w:rFonts w:cstheme="minorHAnsi"/>
        </w:rPr>
      </w:pPr>
      <w:r w:rsidRPr="00A74C4D">
        <w:rPr>
          <w:rFonts w:cstheme="minorHAnsi"/>
          <w:i/>
          <w:iCs/>
        </w:rPr>
        <w:t xml:space="preserve">Acute stroke: </w:t>
      </w:r>
      <w:r w:rsidRPr="00A74C4D">
        <w:rPr>
          <w:rFonts w:cstheme="minorHAnsi"/>
        </w:rPr>
        <w:t xml:space="preserve">Stroke cases are considered acute from the day of incidence of a first-ever stroke through day 28 following the event. </w:t>
      </w:r>
    </w:p>
    <w:p w14:paraId="79E10A63" w14:textId="77777777" w:rsidR="007902A5" w:rsidRPr="00A74C4D" w:rsidRDefault="007902A5" w:rsidP="007902A5">
      <w:pPr>
        <w:autoSpaceDE w:val="0"/>
        <w:autoSpaceDN w:val="0"/>
        <w:adjustRightInd w:val="0"/>
        <w:spacing w:after="0" w:line="240" w:lineRule="auto"/>
        <w:rPr>
          <w:rFonts w:cstheme="minorHAnsi"/>
          <w:i/>
          <w:iCs/>
        </w:rPr>
      </w:pPr>
      <w:r w:rsidRPr="00A74C4D">
        <w:rPr>
          <w:rFonts w:cstheme="minorHAnsi"/>
          <w:i/>
          <w:iCs/>
        </w:rPr>
        <w:t xml:space="preserve"> </w:t>
      </w:r>
    </w:p>
    <w:p w14:paraId="49586164" w14:textId="77777777" w:rsidR="007902A5" w:rsidRPr="00A74C4D" w:rsidRDefault="007902A5" w:rsidP="007902A5">
      <w:pPr>
        <w:autoSpaceDE w:val="0"/>
        <w:autoSpaceDN w:val="0"/>
        <w:adjustRightInd w:val="0"/>
        <w:spacing w:after="0" w:line="240" w:lineRule="auto"/>
        <w:rPr>
          <w:rFonts w:cstheme="minorHAnsi"/>
          <w:sz w:val="24"/>
          <w:szCs w:val="24"/>
        </w:rPr>
      </w:pPr>
      <w:r w:rsidRPr="00A74C4D">
        <w:rPr>
          <w:rFonts w:cstheme="minorHAnsi"/>
          <w:i/>
          <w:iCs/>
        </w:rPr>
        <w:t xml:space="preserve">Intracerebral haemorrhage: </w:t>
      </w:r>
      <w:r w:rsidRPr="00A74C4D">
        <w:rPr>
          <w:rFonts w:cstheme="minorHAnsi"/>
        </w:rPr>
        <w:t>a focal collection of blood within the brain parenchyma or ventricular system that is not caused by trauma</w:t>
      </w:r>
    </w:p>
    <w:p w14:paraId="5E9D02AE" w14:textId="77777777" w:rsidR="007902A5" w:rsidRPr="00A74C4D" w:rsidRDefault="007902A5" w:rsidP="007902A5">
      <w:pPr>
        <w:autoSpaceDE w:val="0"/>
        <w:autoSpaceDN w:val="0"/>
        <w:adjustRightInd w:val="0"/>
        <w:spacing w:after="0" w:line="240" w:lineRule="auto"/>
        <w:rPr>
          <w:rFonts w:cstheme="minorHAnsi"/>
        </w:rPr>
      </w:pPr>
    </w:p>
    <w:p w14:paraId="487CC6BF" w14:textId="77777777" w:rsidR="007902A5" w:rsidRPr="00A74C4D" w:rsidRDefault="007902A5" w:rsidP="007902A5">
      <w:pPr>
        <w:autoSpaceDE w:val="0"/>
        <w:autoSpaceDN w:val="0"/>
        <w:adjustRightInd w:val="0"/>
        <w:spacing w:after="0" w:line="240" w:lineRule="auto"/>
        <w:rPr>
          <w:rFonts w:cstheme="minorHAnsi"/>
        </w:rPr>
      </w:pPr>
      <w:r w:rsidRPr="00A74C4D">
        <w:rPr>
          <w:rFonts w:cstheme="minorHAnsi"/>
          <w:i/>
          <w:iCs/>
        </w:rPr>
        <w:t xml:space="preserve">Subarachnoid haemorrhage: </w:t>
      </w:r>
      <w:r w:rsidRPr="00A74C4D">
        <w:rPr>
          <w:rFonts w:cstheme="minorHAnsi"/>
        </w:rPr>
        <w:t>bleeding into the subarachnoid space (the space between the arachnoid membrane and the pia mater of the brain or spinal cord)</w:t>
      </w:r>
    </w:p>
    <w:p w14:paraId="75E158B0" w14:textId="77777777" w:rsidR="007902A5" w:rsidRPr="00A74C4D" w:rsidRDefault="007902A5" w:rsidP="007902A5">
      <w:pPr>
        <w:autoSpaceDE w:val="0"/>
        <w:autoSpaceDN w:val="0"/>
        <w:adjustRightInd w:val="0"/>
        <w:spacing w:after="0" w:line="240" w:lineRule="auto"/>
        <w:rPr>
          <w:rFonts w:cstheme="minorHAnsi"/>
        </w:rPr>
      </w:pPr>
    </w:p>
    <w:p w14:paraId="611446D4" w14:textId="77777777" w:rsidR="007902A5" w:rsidRDefault="007902A5" w:rsidP="007902A5">
      <w:pPr>
        <w:autoSpaceDE w:val="0"/>
        <w:autoSpaceDN w:val="0"/>
        <w:adjustRightInd w:val="0"/>
        <w:spacing w:after="0" w:line="240" w:lineRule="auto"/>
        <w:rPr>
          <w:rFonts w:cstheme="minorHAnsi"/>
          <w:b/>
        </w:rPr>
      </w:pPr>
      <w:r>
        <w:rPr>
          <w:rFonts w:cstheme="minorHAnsi"/>
          <w:b/>
        </w:rPr>
        <w:t xml:space="preserve">Method of measurement: </w:t>
      </w:r>
    </w:p>
    <w:p w14:paraId="0932C866" w14:textId="14E874D3" w:rsidR="007902A5" w:rsidRDefault="007902A5" w:rsidP="007902A5">
      <w:pPr>
        <w:autoSpaceDE w:val="0"/>
        <w:autoSpaceDN w:val="0"/>
        <w:adjustRightInd w:val="0"/>
        <w:spacing w:after="0" w:line="240" w:lineRule="auto"/>
        <w:rPr>
          <w:rFonts w:cstheme="minorHAnsi"/>
        </w:rPr>
      </w:pPr>
      <w:r>
        <w:rPr>
          <w:rFonts w:cstheme="minorHAnsi"/>
          <w:i/>
        </w:rPr>
        <w:t>Deaths:</w:t>
      </w:r>
      <w:r w:rsidR="007F6EAE">
        <w:rPr>
          <w:rFonts w:cstheme="minorHAnsi"/>
          <w:i/>
        </w:rPr>
        <w:t xml:space="preserve"> </w:t>
      </w:r>
      <w:r>
        <w:rPr>
          <w:rFonts w:cstheme="minorHAnsi"/>
        </w:rPr>
        <w:t xml:space="preserve">Verbal autopsy and vital registration data were used to model cerebrovascular disease. </w:t>
      </w:r>
      <w:r w:rsidR="007F6EAE">
        <w:rPr>
          <w:rFonts w:cstheme="minorHAnsi"/>
        </w:rPr>
        <w:t>Deaths were r</w:t>
      </w:r>
      <w:r>
        <w:rPr>
          <w:rFonts w:cstheme="minorHAnsi"/>
        </w:rPr>
        <w:t>eassigned deaths from verbal autopsy reports for cerebrovascular disease to the parent cardiovascular disease for both sexes for those under 20 years of age. We outliered non-representative subnational verbal autopsy data points. We also outliered ICD8, ICD9 BTL, and ICD10 Tabulated data points which were inconsistent with the rest of the data and created implausible time trends. Data points from sources which were implausibly low in all age groups and data points that were causing the regional estimates to be improbably high were outliered.</w:t>
      </w:r>
    </w:p>
    <w:p w14:paraId="7C3EB576" w14:textId="77777777" w:rsidR="007902A5" w:rsidRDefault="007902A5" w:rsidP="007902A5">
      <w:pPr>
        <w:autoSpaceDE w:val="0"/>
        <w:autoSpaceDN w:val="0"/>
        <w:adjustRightInd w:val="0"/>
        <w:spacing w:after="0" w:line="240" w:lineRule="auto"/>
        <w:rPr>
          <w:rFonts w:cstheme="minorHAnsi"/>
        </w:rPr>
      </w:pPr>
    </w:p>
    <w:p w14:paraId="0CC469DB" w14:textId="77777777" w:rsidR="007902A5" w:rsidRDefault="007902A5" w:rsidP="007902A5">
      <w:pPr>
        <w:autoSpaceDE w:val="0"/>
        <w:autoSpaceDN w:val="0"/>
        <w:adjustRightInd w:val="0"/>
        <w:spacing w:after="0" w:line="240" w:lineRule="auto"/>
        <w:rPr>
          <w:rFonts w:cstheme="minorHAnsi"/>
        </w:rPr>
      </w:pPr>
      <w:r>
        <w:rPr>
          <w:rFonts w:cstheme="minorHAnsi"/>
        </w:rPr>
        <w:t>The ICD9 and ICD10 codes are below:</w:t>
      </w:r>
    </w:p>
    <w:p w14:paraId="661D9EF1" w14:textId="77777777" w:rsidR="007902A5" w:rsidRDefault="007902A5" w:rsidP="007902A5">
      <w:pPr>
        <w:autoSpaceDE w:val="0"/>
        <w:autoSpaceDN w:val="0"/>
        <w:adjustRightInd w:val="0"/>
        <w:spacing w:after="0" w:line="240" w:lineRule="auto"/>
        <w:rPr>
          <w:rFonts w:cstheme="minorHAnsi"/>
        </w:rPr>
      </w:pPr>
      <w:r>
        <w:rPr>
          <w:rFonts w:cstheme="minorHAnsi"/>
        </w:rPr>
        <w:t>ICD9 - 430-435.9, 437.0-437.2, 437.5-437.8</w:t>
      </w:r>
    </w:p>
    <w:p w14:paraId="19678016" w14:textId="77777777" w:rsidR="007902A5" w:rsidRDefault="007902A5" w:rsidP="007902A5">
      <w:pPr>
        <w:autoSpaceDE w:val="0"/>
        <w:autoSpaceDN w:val="0"/>
        <w:adjustRightInd w:val="0"/>
        <w:spacing w:after="0" w:line="240" w:lineRule="auto"/>
        <w:rPr>
          <w:rFonts w:cstheme="minorHAnsi"/>
        </w:rPr>
      </w:pPr>
      <w:r>
        <w:rPr>
          <w:rFonts w:cstheme="minorHAnsi"/>
        </w:rPr>
        <w:t>ICD10 - G45-G46.8, I60-I63.9, I65-I66.9, I67.0-I67.3, I67.5-I67.6, I68.1-I68.2, I69.0-I69.3</w:t>
      </w:r>
    </w:p>
    <w:p w14:paraId="32A97B20" w14:textId="77777777" w:rsidR="007902A5" w:rsidRPr="00A74C4D" w:rsidRDefault="007902A5" w:rsidP="007902A5">
      <w:pPr>
        <w:autoSpaceDE w:val="0"/>
        <w:autoSpaceDN w:val="0"/>
        <w:adjustRightInd w:val="0"/>
        <w:spacing w:after="0" w:line="240" w:lineRule="auto"/>
        <w:rPr>
          <w:rFonts w:cstheme="minorHAnsi"/>
        </w:rPr>
      </w:pPr>
    </w:p>
    <w:p w14:paraId="2AE537C5" w14:textId="77777777" w:rsidR="007902A5" w:rsidRPr="00A74C4D" w:rsidRDefault="007902A5" w:rsidP="007902A5">
      <w:pPr>
        <w:autoSpaceDE w:val="0"/>
        <w:autoSpaceDN w:val="0"/>
        <w:adjustRightInd w:val="0"/>
        <w:spacing w:after="0" w:line="240" w:lineRule="auto"/>
        <w:rPr>
          <w:rFonts w:cstheme="minorHAnsi"/>
          <w:i/>
        </w:rPr>
      </w:pPr>
      <w:r w:rsidRPr="00A74C4D">
        <w:rPr>
          <w:rFonts w:cstheme="minorHAnsi"/>
          <w:i/>
        </w:rPr>
        <w:t>Incidence:</w:t>
      </w:r>
    </w:p>
    <w:p w14:paraId="36993C6F" w14:textId="613E4F48" w:rsidR="007902A5" w:rsidRPr="00A74C4D" w:rsidRDefault="007F6EAE" w:rsidP="007902A5">
      <w:pPr>
        <w:autoSpaceDE w:val="0"/>
        <w:autoSpaceDN w:val="0"/>
        <w:adjustRightInd w:val="0"/>
        <w:spacing w:after="0" w:line="240" w:lineRule="auto"/>
        <w:rPr>
          <w:rFonts w:cstheme="minorHAnsi"/>
        </w:rPr>
      </w:pPr>
      <w:r>
        <w:rPr>
          <w:rFonts w:cstheme="minorHAnsi"/>
        </w:rPr>
        <w:t>I</w:t>
      </w:r>
      <w:r w:rsidR="007902A5" w:rsidRPr="00A74C4D">
        <w:rPr>
          <w:rFonts w:cstheme="minorHAnsi"/>
        </w:rPr>
        <w:t xml:space="preserve">ncluded inpatient hospital data, adjusted for readmission and primary to any diagnosis using correction factors estimated from US claims data. </w:t>
      </w:r>
      <w:r>
        <w:rPr>
          <w:rFonts w:cstheme="minorHAnsi"/>
        </w:rPr>
        <w:t>Data was e</w:t>
      </w:r>
      <w:r w:rsidR="007902A5" w:rsidRPr="00A74C4D">
        <w:rPr>
          <w:rFonts w:cstheme="minorHAnsi"/>
        </w:rPr>
        <w:t>xcluded for locations where the data points were implausibly low (Vietnam, Philippines, India). In addition, unpublished stroke registry data for acute ischaemic stroke, acute intracerebral haemorrhage, and acute subarachnoid haemorrhage</w:t>
      </w:r>
      <w:r>
        <w:rPr>
          <w:rFonts w:cstheme="minorHAnsi"/>
        </w:rPr>
        <w:t xml:space="preserve"> were included</w:t>
      </w:r>
      <w:r w:rsidR="007902A5" w:rsidRPr="00A74C4D">
        <w:rPr>
          <w:rFonts w:cstheme="minorHAnsi"/>
        </w:rPr>
        <w:t>.</w:t>
      </w:r>
    </w:p>
    <w:p w14:paraId="2FB04D2F" w14:textId="5C3D040C" w:rsidR="007902A5" w:rsidRDefault="007F6EAE" w:rsidP="007902A5">
      <w:pPr>
        <w:autoSpaceDE w:val="0"/>
        <w:autoSpaceDN w:val="0"/>
        <w:adjustRightInd w:val="0"/>
        <w:spacing w:after="0" w:line="240" w:lineRule="auto"/>
        <w:rPr>
          <w:rFonts w:cstheme="minorHAnsi"/>
        </w:rPr>
      </w:pPr>
      <w:r>
        <w:rPr>
          <w:rFonts w:cstheme="minorHAnsi"/>
        </w:rPr>
        <w:t>A</w:t>
      </w:r>
      <w:r w:rsidR="007902A5" w:rsidRPr="00A74C4D">
        <w:rPr>
          <w:rFonts w:cstheme="minorHAnsi"/>
        </w:rPr>
        <w:t>lso included survey data for chronic stroke. These surveys were identified based on expert opinion and review of major survey series focused on world health that included questions regarding self-reported history of stroke.</w:t>
      </w:r>
    </w:p>
    <w:p w14:paraId="76C823CA" w14:textId="77777777" w:rsidR="00BC4F2E" w:rsidRPr="00953574" w:rsidRDefault="00BC4F2E" w:rsidP="007902A5">
      <w:pPr>
        <w:autoSpaceDE w:val="0"/>
        <w:autoSpaceDN w:val="0"/>
        <w:adjustRightInd w:val="0"/>
        <w:spacing w:after="0" w:line="240" w:lineRule="auto"/>
        <w:rPr>
          <w:rFonts w:cstheme="minorHAnsi"/>
        </w:rPr>
      </w:pPr>
    </w:p>
    <w:p w14:paraId="198DDC44" w14:textId="77777777" w:rsidR="007902A5" w:rsidRPr="00A74C4D" w:rsidRDefault="007902A5" w:rsidP="007902A5">
      <w:pPr>
        <w:rPr>
          <w:rFonts w:cstheme="minorHAnsi"/>
        </w:rPr>
      </w:pPr>
      <w:r w:rsidRPr="00A74C4D">
        <w:rPr>
          <w:rFonts w:cstheme="minorHAnsi"/>
          <w:b/>
        </w:rPr>
        <w:t>Measurement frequency:</w:t>
      </w:r>
      <w:r w:rsidRPr="00A74C4D">
        <w:rPr>
          <w:rFonts w:cstheme="minorHAnsi"/>
        </w:rPr>
        <w:t xml:space="preserve"> Annual.</w:t>
      </w:r>
    </w:p>
    <w:p w14:paraId="7247EE86" w14:textId="77777777" w:rsidR="007902A5" w:rsidRPr="00A74C4D" w:rsidRDefault="007902A5" w:rsidP="007902A5">
      <w:pPr>
        <w:rPr>
          <w:rFonts w:cstheme="minorHAnsi"/>
        </w:rPr>
      </w:pPr>
      <w:r w:rsidRPr="00A74C4D">
        <w:rPr>
          <w:rFonts w:cstheme="minorHAnsi"/>
          <w:b/>
        </w:rPr>
        <w:t>Monitoring and evaluation framework:</w:t>
      </w:r>
      <w:r w:rsidRPr="00A74C4D">
        <w:rPr>
          <w:rFonts w:cstheme="minorHAnsi"/>
        </w:rPr>
        <w:t xml:space="preserve"> Outcome.</w:t>
      </w:r>
    </w:p>
    <w:p w14:paraId="4C967201" w14:textId="1EBDE859" w:rsidR="007902A5" w:rsidRPr="00A74C4D" w:rsidRDefault="007902A5" w:rsidP="007902A5">
      <w:pPr>
        <w:rPr>
          <w:rFonts w:eastAsia="MyriadPro-Cond" w:cstheme="minorHAnsi"/>
        </w:rPr>
      </w:pPr>
      <w:r w:rsidRPr="00A74C4D">
        <w:rPr>
          <w:rFonts w:cstheme="minorHAnsi"/>
          <w:b/>
        </w:rPr>
        <w:t>Preferred data sources:</w:t>
      </w:r>
      <w:r w:rsidRPr="00A74C4D">
        <w:rPr>
          <w:rFonts w:cstheme="minorHAnsi"/>
        </w:rPr>
        <w:t xml:space="preserve"> </w:t>
      </w:r>
      <w:r w:rsidR="00BC4F2E">
        <w:rPr>
          <w:rFonts w:cstheme="minorHAnsi"/>
        </w:rPr>
        <w:t>NA</w:t>
      </w:r>
    </w:p>
    <w:p w14:paraId="6ADB6012" w14:textId="23365856" w:rsidR="00994FE1" w:rsidRPr="00994FE1" w:rsidRDefault="00994FE1" w:rsidP="007902A5">
      <w:pPr>
        <w:rPr>
          <w:rFonts w:cstheme="minorHAnsi"/>
          <w:b/>
        </w:rPr>
      </w:pPr>
    </w:p>
    <w:p w14:paraId="21DFFE7E" w14:textId="77777777" w:rsidR="007902A5" w:rsidRDefault="007902A5" w:rsidP="007902A5">
      <w:pPr>
        <w:rPr>
          <w:b/>
        </w:rPr>
      </w:pPr>
    </w:p>
    <w:p w14:paraId="2932E897" w14:textId="77777777" w:rsidR="007902A5" w:rsidRDefault="007902A5" w:rsidP="007902A5">
      <w:pPr>
        <w:rPr>
          <w:b/>
        </w:rPr>
      </w:pPr>
    </w:p>
    <w:p w14:paraId="2111A0E7" w14:textId="77777777" w:rsidR="007902A5" w:rsidRDefault="007902A5" w:rsidP="007902A5">
      <w:pPr>
        <w:rPr>
          <w:b/>
        </w:rPr>
      </w:pPr>
    </w:p>
    <w:p w14:paraId="3C5692AA" w14:textId="77777777" w:rsidR="007902A5" w:rsidRDefault="007902A5" w:rsidP="007902A5">
      <w:pPr>
        <w:rPr>
          <w:b/>
        </w:rPr>
      </w:pPr>
    </w:p>
    <w:p w14:paraId="604547F1" w14:textId="77777777" w:rsidR="007902A5" w:rsidRDefault="007902A5" w:rsidP="007902A5">
      <w:pPr>
        <w:rPr>
          <w:b/>
        </w:rPr>
      </w:pPr>
    </w:p>
    <w:p w14:paraId="5CE5CDA1" w14:textId="77777777" w:rsidR="007902A5" w:rsidRDefault="007902A5" w:rsidP="007902A5">
      <w:pPr>
        <w:rPr>
          <w:b/>
        </w:rPr>
      </w:pPr>
    </w:p>
    <w:p w14:paraId="770E7499" w14:textId="77777777" w:rsidR="007902A5" w:rsidRDefault="007902A5" w:rsidP="007902A5">
      <w:pPr>
        <w:rPr>
          <w:b/>
        </w:rPr>
      </w:pPr>
    </w:p>
    <w:p w14:paraId="009C0CFE" w14:textId="77777777" w:rsidR="007902A5" w:rsidRDefault="007902A5" w:rsidP="007902A5">
      <w:pPr>
        <w:rPr>
          <w:b/>
        </w:rPr>
      </w:pPr>
    </w:p>
    <w:p w14:paraId="7DAB260A" w14:textId="77777777" w:rsidR="007902A5" w:rsidRDefault="007902A5" w:rsidP="007902A5">
      <w:pPr>
        <w:rPr>
          <w:b/>
        </w:rPr>
      </w:pPr>
    </w:p>
    <w:p w14:paraId="29DF4F90" w14:textId="77777777" w:rsidR="007902A5" w:rsidRDefault="007902A5" w:rsidP="007902A5">
      <w:pPr>
        <w:rPr>
          <w:b/>
        </w:rPr>
      </w:pPr>
    </w:p>
    <w:p w14:paraId="76FC04FA" w14:textId="77777777" w:rsidR="007902A5" w:rsidRDefault="007902A5" w:rsidP="007902A5">
      <w:pPr>
        <w:rPr>
          <w:b/>
        </w:rPr>
      </w:pPr>
    </w:p>
    <w:p w14:paraId="3D57D778" w14:textId="77777777" w:rsidR="007902A5" w:rsidRDefault="007902A5" w:rsidP="007902A5">
      <w:pPr>
        <w:rPr>
          <w:b/>
        </w:rPr>
      </w:pPr>
    </w:p>
    <w:p w14:paraId="6DF1D8C1" w14:textId="77777777" w:rsidR="007902A5" w:rsidRDefault="007902A5" w:rsidP="007902A5">
      <w:pPr>
        <w:rPr>
          <w:b/>
        </w:rPr>
      </w:pPr>
    </w:p>
    <w:p w14:paraId="72154CDC" w14:textId="77777777" w:rsidR="007902A5" w:rsidRDefault="007902A5" w:rsidP="007902A5">
      <w:pPr>
        <w:rPr>
          <w:b/>
        </w:rPr>
      </w:pPr>
    </w:p>
    <w:p w14:paraId="363291BA" w14:textId="77777777" w:rsidR="007902A5" w:rsidRDefault="007902A5" w:rsidP="007902A5">
      <w:pPr>
        <w:rPr>
          <w:b/>
        </w:rPr>
      </w:pPr>
    </w:p>
    <w:p w14:paraId="4D0D6582" w14:textId="77777777" w:rsidR="007902A5" w:rsidRDefault="007902A5" w:rsidP="007902A5">
      <w:pPr>
        <w:rPr>
          <w:b/>
        </w:rPr>
      </w:pPr>
    </w:p>
    <w:p w14:paraId="15FC1D5F" w14:textId="77777777" w:rsidR="007902A5" w:rsidRDefault="007902A5" w:rsidP="007902A5">
      <w:pPr>
        <w:rPr>
          <w:b/>
        </w:rPr>
      </w:pPr>
    </w:p>
    <w:p w14:paraId="03FF83A2" w14:textId="77777777" w:rsidR="007902A5" w:rsidRDefault="007902A5" w:rsidP="007902A5">
      <w:pPr>
        <w:rPr>
          <w:b/>
        </w:rPr>
      </w:pPr>
    </w:p>
    <w:p w14:paraId="7C698137" w14:textId="77777777" w:rsidR="007902A5" w:rsidRDefault="007902A5" w:rsidP="007902A5">
      <w:pPr>
        <w:rPr>
          <w:b/>
        </w:rPr>
      </w:pPr>
    </w:p>
    <w:p w14:paraId="109C000E" w14:textId="77777777" w:rsidR="007F6EAE" w:rsidRDefault="007F6EAE" w:rsidP="007902A5">
      <w:pPr>
        <w:rPr>
          <w:b/>
          <w:u w:val="single"/>
        </w:rPr>
      </w:pPr>
    </w:p>
    <w:p w14:paraId="598B535F" w14:textId="77777777" w:rsidR="007F6EAE" w:rsidRDefault="007F6EAE" w:rsidP="007902A5">
      <w:pPr>
        <w:rPr>
          <w:b/>
          <w:u w:val="single"/>
        </w:rPr>
      </w:pPr>
    </w:p>
    <w:p w14:paraId="345A3FD0" w14:textId="4BBAD507" w:rsidR="007902A5" w:rsidRPr="002554F5" w:rsidRDefault="007902A5" w:rsidP="007902A5">
      <w:pPr>
        <w:rPr>
          <w:u w:val="single"/>
        </w:rPr>
      </w:pPr>
      <w:r>
        <w:rPr>
          <w:b/>
          <w:u w:val="single"/>
        </w:rPr>
        <w:t>29</w:t>
      </w:r>
      <w:r w:rsidRPr="002554F5">
        <w:rPr>
          <w:b/>
          <w:u w:val="single"/>
        </w:rPr>
        <w:t xml:space="preserve">. </w:t>
      </w:r>
      <w:r w:rsidRPr="00CC02B3">
        <w:rPr>
          <w:u w:val="single"/>
        </w:rPr>
        <w:t>EC treatment of chronic obstructive pulmonary diseas</w:t>
      </w:r>
      <w:r>
        <w:rPr>
          <w:u w:val="single"/>
        </w:rPr>
        <w:t>e</w:t>
      </w:r>
      <w:r w:rsidRPr="002554F5">
        <w:rPr>
          <w:u w:val="single"/>
        </w:rPr>
        <w:t>.</w:t>
      </w:r>
    </w:p>
    <w:p w14:paraId="054EE51C" w14:textId="77777777" w:rsidR="007902A5" w:rsidRDefault="007902A5" w:rsidP="007902A5">
      <w:pPr>
        <w:rPr>
          <w:rFonts w:ascii="MyriadPro-Cond" w:eastAsia="MyriadPro-Cond" w:cs="MyriadPro-Cond"/>
        </w:rPr>
      </w:pPr>
      <w:r>
        <w:rPr>
          <w:b/>
        </w:rPr>
        <w:t>Domain of Global Reference List:</w:t>
      </w:r>
      <w:r>
        <w:t xml:space="preserve"> Service coverage.</w:t>
      </w:r>
    </w:p>
    <w:p w14:paraId="3EB80EC8" w14:textId="77777777" w:rsidR="007902A5" w:rsidRDefault="007902A5" w:rsidP="007902A5">
      <w:pPr>
        <w:rPr>
          <w:b/>
        </w:rPr>
      </w:pPr>
      <w:r>
        <w:rPr>
          <w:b/>
        </w:rPr>
        <w:t>Rationale:</w:t>
      </w:r>
      <w:r>
        <w:t xml:space="preserve"> It is a tracer indicator. The chronic obstructive pulmonary disease case-fatality rate is a marker of access to and quality of health care services.</w:t>
      </w:r>
    </w:p>
    <w:p w14:paraId="361BDD8F" w14:textId="77777777" w:rsidR="007902A5" w:rsidRDefault="007902A5" w:rsidP="007902A5">
      <w:r>
        <w:rPr>
          <w:b/>
        </w:rPr>
        <w:t>Numerator:</w:t>
      </w:r>
      <w:r>
        <w:t xml:space="preserve"> </w:t>
      </w:r>
      <w:r w:rsidRPr="00CC02B3">
        <w:t>number of deaths due to chronic obstructive pulmonary disease</w:t>
      </w:r>
      <w:r>
        <w:t>.</w:t>
      </w:r>
    </w:p>
    <w:p w14:paraId="660F74B0" w14:textId="77777777" w:rsidR="007902A5" w:rsidRDefault="007902A5" w:rsidP="007902A5">
      <w:r>
        <w:rPr>
          <w:b/>
        </w:rPr>
        <w:t xml:space="preserve">Denominator: </w:t>
      </w:r>
      <w:r w:rsidRPr="00CC02B3">
        <w:t>number of prevalent cases of chronic obstructive pulmonary disease</w:t>
      </w:r>
      <w:r>
        <w:t>.</w:t>
      </w:r>
    </w:p>
    <w:p w14:paraId="79FC778C" w14:textId="77777777" w:rsidR="007902A5" w:rsidRPr="00991B0B" w:rsidRDefault="007902A5" w:rsidP="007902A5">
      <w:pPr>
        <w:autoSpaceDE w:val="0"/>
        <w:autoSpaceDN w:val="0"/>
        <w:adjustRightInd w:val="0"/>
        <w:spacing w:after="0" w:line="240" w:lineRule="auto"/>
      </w:pPr>
      <w:r>
        <w:rPr>
          <w:b/>
        </w:rPr>
        <w:t xml:space="preserve">Case definition: </w:t>
      </w:r>
      <w:r w:rsidRPr="00153E5E">
        <w:t>COPD is defined as in the Global Initiative for Chronic Obstructive Lung Disease (GOLD) classification: a measurement of &lt;0.7 FEV1/FVC (one second of forceful exhalation/total forced expiration) on spirometry after bronchodilation.</w:t>
      </w:r>
      <w:r>
        <w:rPr>
          <w:rFonts w:ascii="Calibri-Light" w:hAnsi="Calibri-Light" w:cs="Calibri-Light"/>
        </w:rPr>
        <w:t xml:space="preserve"> </w:t>
      </w:r>
      <w:r w:rsidRPr="00991B0B">
        <w:t>The ICD10 codes are J41-J44.9 and the ICD9 codes are 491-492.9, 496-499.</w:t>
      </w:r>
    </w:p>
    <w:p w14:paraId="6583407A" w14:textId="77777777" w:rsidR="007902A5" w:rsidRPr="00DA5603" w:rsidRDefault="007902A5" w:rsidP="007902A5">
      <w:pPr>
        <w:autoSpaceDE w:val="0"/>
        <w:autoSpaceDN w:val="0"/>
        <w:adjustRightInd w:val="0"/>
        <w:spacing w:after="0" w:line="240" w:lineRule="auto"/>
        <w:rPr>
          <w:rFonts w:ascii="Calibri-Light" w:hAnsi="Calibri-Light" w:cs="Calibri-Light"/>
        </w:rPr>
      </w:pPr>
    </w:p>
    <w:p w14:paraId="774D63A8" w14:textId="77777777" w:rsidR="007902A5" w:rsidRDefault="007902A5" w:rsidP="007902A5">
      <w:pPr>
        <w:tabs>
          <w:tab w:val="left" w:pos="3060"/>
        </w:tabs>
        <w:autoSpaceDE w:val="0"/>
        <w:autoSpaceDN w:val="0"/>
        <w:adjustRightInd w:val="0"/>
        <w:spacing w:after="0" w:line="240" w:lineRule="auto"/>
        <w:rPr>
          <w:b/>
        </w:rPr>
      </w:pPr>
      <w:r>
        <w:rPr>
          <w:b/>
        </w:rPr>
        <w:t>Method of measurement:</w:t>
      </w:r>
      <w:r>
        <w:rPr>
          <w:b/>
        </w:rPr>
        <w:tab/>
      </w:r>
    </w:p>
    <w:p w14:paraId="6EF50DFA" w14:textId="77777777" w:rsidR="007902A5" w:rsidRPr="006401D1" w:rsidRDefault="007902A5" w:rsidP="007902A5">
      <w:pPr>
        <w:autoSpaceDE w:val="0"/>
        <w:autoSpaceDN w:val="0"/>
        <w:adjustRightInd w:val="0"/>
        <w:spacing w:after="0" w:line="240" w:lineRule="auto"/>
        <w:rPr>
          <w:rFonts w:ascii="Calibri" w:hAnsi="Calibri" w:cs="Calibri"/>
          <w:i/>
        </w:rPr>
      </w:pPr>
      <w:r w:rsidRPr="006401D1">
        <w:rPr>
          <w:rFonts w:ascii="Calibri" w:hAnsi="Calibri" w:cs="Calibri"/>
          <w:i/>
        </w:rPr>
        <w:t>Deaths:</w:t>
      </w:r>
    </w:p>
    <w:p w14:paraId="4A262A07" w14:textId="77777777" w:rsidR="007902A5" w:rsidRDefault="007902A5" w:rsidP="007902A5">
      <w:pPr>
        <w:autoSpaceDE w:val="0"/>
        <w:autoSpaceDN w:val="0"/>
        <w:adjustRightInd w:val="0"/>
        <w:spacing w:after="0" w:line="240" w:lineRule="auto"/>
        <w:rPr>
          <w:rFonts w:ascii="Calibri" w:hAnsi="Calibri" w:cs="Calibri"/>
        </w:rPr>
      </w:pPr>
      <w:r>
        <w:rPr>
          <w:rFonts w:ascii="Calibri" w:hAnsi="Calibri" w:cs="Calibri"/>
        </w:rPr>
        <w:t xml:space="preserve">Data used to estimate chronic obstructive pulmonary disease (COPD) mortality included vital registration and surveillance data from the cause of death. </w:t>
      </w:r>
    </w:p>
    <w:p w14:paraId="35273246" w14:textId="77777777" w:rsidR="007902A5" w:rsidRDefault="007902A5" w:rsidP="007902A5">
      <w:pPr>
        <w:autoSpaceDE w:val="0"/>
        <w:autoSpaceDN w:val="0"/>
        <w:adjustRightInd w:val="0"/>
        <w:spacing w:after="0" w:line="240" w:lineRule="auto"/>
        <w:rPr>
          <w:rFonts w:ascii="Calibri" w:hAnsi="Calibri" w:cs="Calibri"/>
        </w:rPr>
      </w:pPr>
    </w:p>
    <w:p w14:paraId="3BC07834" w14:textId="77777777" w:rsidR="007902A5" w:rsidRPr="00DC7969" w:rsidRDefault="007902A5" w:rsidP="007902A5">
      <w:pPr>
        <w:autoSpaceDE w:val="0"/>
        <w:autoSpaceDN w:val="0"/>
        <w:adjustRightInd w:val="0"/>
        <w:spacing w:after="0" w:line="240" w:lineRule="auto"/>
        <w:rPr>
          <w:rFonts w:ascii="Calibri" w:hAnsi="Calibri" w:cs="Calibri"/>
          <w:i/>
        </w:rPr>
      </w:pPr>
      <w:r w:rsidRPr="00DC7969">
        <w:rPr>
          <w:rFonts w:ascii="Calibri" w:hAnsi="Calibri" w:cs="Calibri"/>
          <w:i/>
        </w:rPr>
        <w:t>Prevalence:</w:t>
      </w:r>
    </w:p>
    <w:p w14:paraId="61D03563" w14:textId="2F4EB988" w:rsidR="007902A5" w:rsidRPr="009F5C49" w:rsidRDefault="007902A5" w:rsidP="007902A5">
      <w:pPr>
        <w:autoSpaceDE w:val="0"/>
        <w:autoSpaceDN w:val="0"/>
        <w:adjustRightInd w:val="0"/>
        <w:spacing w:after="0" w:line="240" w:lineRule="auto"/>
        <w:rPr>
          <w:rFonts w:cstheme="minorHAnsi"/>
        </w:rPr>
      </w:pPr>
      <w:r w:rsidRPr="009F5C49">
        <w:rPr>
          <w:rFonts w:cstheme="minorHAnsi"/>
        </w:rPr>
        <w:t xml:space="preserve">GBD 2017 COPD prevalence estimation, in addition to scientific literature, included survey data with spirometry measurements, such as the National Health and Nutrition Examination Study series in the United States. The Study of Aging and Global Health (SAGE) series, the Korean NHANES, the English Longitudinal Study of Aging (ELSA), and the Turkey Chronic Diseases and Risk Factors Study 2011. Data using alternative case-definitions of COPD prevalence (ie, LLN or FEV1/FVC&lt;0.7 pre-bronchodilator) were cross walked to the reference case-definition with age-specific ratios derived from studies reporting prevalence using both the alternative and reference case-definitions. Furthermore, claims data for the United States were included. Additional information on the claims data collection and pre-corrections are provided elsewhere. Persons with any inpatient claim or at least two outpatient claims associated with COPD were marked as a prevalent case for that year. </w:t>
      </w:r>
    </w:p>
    <w:p w14:paraId="0B9CF048" w14:textId="77777777" w:rsidR="007902A5" w:rsidRPr="00BA3A87" w:rsidRDefault="007902A5" w:rsidP="007902A5">
      <w:pPr>
        <w:autoSpaceDE w:val="0"/>
        <w:autoSpaceDN w:val="0"/>
        <w:adjustRightInd w:val="0"/>
        <w:spacing w:after="0" w:line="240" w:lineRule="auto"/>
        <w:rPr>
          <w:rFonts w:ascii="Calibri" w:hAnsi="Calibri" w:cs="Calibri"/>
        </w:rPr>
      </w:pPr>
    </w:p>
    <w:p w14:paraId="1EBAC16A" w14:textId="77777777" w:rsidR="007902A5" w:rsidRDefault="007902A5" w:rsidP="007902A5">
      <w:pPr>
        <w:rPr>
          <w:rFonts w:ascii="MyriadPro-Cond" w:eastAsia="MyriadPro-Cond" w:cs="MyriadPro-Cond"/>
        </w:rPr>
      </w:pPr>
      <w:r>
        <w:rPr>
          <w:b/>
        </w:rPr>
        <w:t>Measurement frequency:</w:t>
      </w:r>
      <w:r>
        <w:t xml:space="preserve"> Annual.</w:t>
      </w:r>
    </w:p>
    <w:p w14:paraId="7D9ACF61" w14:textId="77777777" w:rsidR="007902A5" w:rsidRDefault="007902A5" w:rsidP="007902A5">
      <w:r>
        <w:rPr>
          <w:b/>
        </w:rPr>
        <w:t>Monitoring and evaluation framework:</w:t>
      </w:r>
      <w:r>
        <w:t xml:space="preserve"> Outcome.</w:t>
      </w:r>
    </w:p>
    <w:p w14:paraId="3712AE35" w14:textId="77777777" w:rsidR="007902A5" w:rsidRDefault="007902A5" w:rsidP="007902A5">
      <w:pPr>
        <w:rPr>
          <w:rFonts w:ascii="MyriadPro-Cond" w:eastAsia="MyriadPro-Cond" w:cs="MyriadPro-Cond"/>
        </w:rPr>
      </w:pPr>
      <w:r>
        <w:rPr>
          <w:b/>
        </w:rPr>
        <w:t>Preferred data sources:</w:t>
      </w:r>
      <w:r>
        <w:t xml:space="preserve"> Individual-level survey data with spirometry measurements.</w:t>
      </w:r>
    </w:p>
    <w:p w14:paraId="62B1E55E" w14:textId="020D4C58" w:rsidR="007902A5" w:rsidRPr="00610D00" w:rsidRDefault="007902A5" w:rsidP="007902A5"/>
    <w:p w14:paraId="5DB9373D" w14:textId="77777777" w:rsidR="007902A5" w:rsidRDefault="007902A5" w:rsidP="007902A5">
      <w:pPr>
        <w:rPr>
          <w:b/>
        </w:rPr>
      </w:pPr>
    </w:p>
    <w:p w14:paraId="2589152D" w14:textId="77777777" w:rsidR="007902A5" w:rsidRDefault="007902A5" w:rsidP="007902A5">
      <w:pPr>
        <w:rPr>
          <w:b/>
        </w:rPr>
      </w:pPr>
    </w:p>
    <w:p w14:paraId="3D92EA71" w14:textId="549F7502" w:rsidR="007902A5" w:rsidRDefault="007902A5" w:rsidP="007902A5">
      <w:pPr>
        <w:rPr>
          <w:b/>
        </w:rPr>
      </w:pPr>
    </w:p>
    <w:p w14:paraId="0458BF19" w14:textId="77777777" w:rsidR="007902A5" w:rsidRDefault="007902A5" w:rsidP="007902A5">
      <w:pPr>
        <w:rPr>
          <w:b/>
        </w:rPr>
      </w:pPr>
    </w:p>
    <w:p w14:paraId="4838BED4" w14:textId="77777777" w:rsidR="007902A5" w:rsidRPr="002554F5" w:rsidRDefault="007902A5" w:rsidP="007902A5">
      <w:pPr>
        <w:rPr>
          <w:bCs/>
          <w:u w:val="single"/>
        </w:rPr>
      </w:pPr>
      <w:r>
        <w:rPr>
          <w:b/>
          <w:u w:val="single"/>
        </w:rPr>
        <w:t>30</w:t>
      </w:r>
      <w:r w:rsidRPr="002554F5">
        <w:rPr>
          <w:b/>
          <w:u w:val="single"/>
        </w:rPr>
        <w:t xml:space="preserve">. </w:t>
      </w:r>
      <w:r w:rsidRPr="00CC02B3">
        <w:rPr>
          <w:bCs/>
          <w:u w:val="single"/>
        </w:rPr>
        <w:t>EC treatment of end-stage renal disease</w:t>
      </w:r>
      <w:r>
        <w:rPr>
          <w:bCs/>
          <w:u w:val="single"/>
        </w:rPr>
        <w:t xml:space="preserve">. </w:t>
      </w:r>
    </w:p>
    <w:p w14:paraId="43FD9352" w14:textId="77777777" w:rsidR="007902A5" w:rsidRDefault="007902A5" w:rsidP="007902A5">
      <w:pPr>
        <w:rPr>
          <w:rFonts w:ascii="MyriadPro-Cond" w:eastAsia="MyriadPro-Cond" w:cs="MyriadPro-Cond"/>
        </w:rPr>
      </w:pPr>
      <w:r>
        <w:rPr>
          <w:b/>
        </w:rPr>
        <w:t>Domain of Global Reference List:</w:t>
      </w:r>
      <w:r>
        <w:t xml:space="preserve"> Service coverage.</w:t>
      </w:r>
    </w:p>
    <w:p w14:paraId="7209957D" w14:textId="77777777" w:rsidR="007902A5" w:rsidRDefault="007902A5" w:rsidP="007902A5">
      <w:pPr>
        <w:rPr>
          <w:b/>
        </w:rPr>
      </w:pPr>
      <w:r>
        <w:rPr>
          <w:b/>
        </w:rPr>
        <w:t>Rationale:</w:t>
      </w:r>
      <w:r>
        <w:t xml:space="preserve"> proxied using the death from chronic kidney disease (CKD) to the prevalence of ESRD. Rescaled using the observed range rescale.</w:t>
      </w:r>
    </w:p>
    <w:p w14:paraId="74B8E168" w14:textId="77777777" w:rsidR="007902A5" w:rsidRDefault="007902A5" w:rsidP="007902A5">
      <w:r>
        <w:rPr>
          <w:b/>
        </w:rPr>
        <w:t>Numerator:</w:t>
      </w:r>
      <w:r>
        <w:t xml:space="preserve"> </w:t>
      </w:r>
      <w:r w:rsidRPr="00CC02B3">
        <w:t>number of deaths due to chronic kidney disease</w:t>
      </w:r>
      <w:r>
        <w:t xml:space="preserve">. </w:t>
      </w:r>
    </w:p>
    <w:p w14:paraId="73AC3C81" w14:textId="77777777" w:rsidR="007902A5" w:rsidRDefault="007902A5" w:rsidP="007902A5">
      <w:r>
        <w:rPr>
          <w:b/>
        </w:rPr>
        <w:t xml:space="preserve">Denominator: </w:t>
      </w:r>
      <w:r w:rsidRPr="00CC02B3">
        <w:t>number of prevalent cases of end-stage renal disease</w:t>
      </w:r>
      <w:r>
        <w:t xml:space="preserve">. </w:t>
      </w:r>
    </w:p>
    <w:p w14:paraId="319A0618" w14:textId="77777777" w:rsidR="007902A5" w:rsidRDefault="007902A5" w:rsidP="007902A5">
      <w:pPr>
        <w:autoSpaceDE w:val="0"/>
        <w:autoSpaceDN w:val="0"/>
        <w:adjustRightInd w:val="0"/>
        <w:spacing w:after="0" w:line="240" w:lineRule="auto"/>
        <w:rPr>
          <w:rFonts w:cstheme="minorHAnsi"/>
        </w:rPr>
      </w:pPr>
      <w:r>
        <w:rPr>
          <w:b/>
        </w:rPr>
        <w:t xml:space="preserve">Case definition: </w:t>
      </w:r>
      <w:r>
        <w:rPr>
          <w:rFonts w:cstheme="minorHAnsi"/>
        </w:rPr>
        <w:t xml:space="preserve">Chronic kidney disease (CKD) is defined as a permanent loss of renal function as indicated by estimated glomerular filtration rate (eGFR) and urinary albumin to creatinine ratio (ACR). ESRD can be identified after transplant of using dialysis </w:t>
      </w:r>
    </w:p>
    <w:p w14:paraId="7CE8897A" w14:textId="77777777" w:rsidR="007902A5" w:rsidRDefault="007902A5" w:rsidP="007902A5">
      <w:pPr>
        <w:autoSpaceDE w:val="0"/>
        <w:autoSpaceDN w:val="0"/>
        <w:adjustRightInd w:val="0"/>
        <w:spacing w:after="0" w:line="240" w:lineRule="auto"/>
        <w:rPr>
          <w:b/>
        </w:rPr>
      </w:pPr>
    </w:p>
    <w:p w14:paraId="7FEF0773" w14:textId="77777777" w:rsidR="007902A5" w:rsidRDefault="007902A5" w:rsidP="007902A5">
      <w:pPr>
        <w:autoSpaceDE w:val="0"/>
        <w:autoSpaceDN w:val="0"/>
        <w:adjustRightInd w:val="0"/>
        <w:spacing w:after="0" w:line="240" w:lineRule="auto"/>
        <w:rPr>
          <w:b/>
        </w:rPr>
      </w:pPr>
      <w:r>
        <w:rPr>
          <w:b/>
        </w:rPr>
        <w:t xml:space="preserve">Method of measurement: </w:t>
      </w:r>
    </w:p>
    <w:p w14:paraId="0FFDC9FB" w14:textId="77777777" w:rsidR="007902A5" w:rsidRDefault="007902A5" w:rsidP="007902A5">
      <w:pPr>
        <w:autoSpaceDE w:val="0"/>
        <w:autoSpaceDN w:val="0"/>
        <w:adjustRightInd w:val="0"/>
        <w:spacing w:after="0" w:line="240" w:lineRule="auto"/>
        <w:rPr>
          <w:i/>
        </w:rPr>
      </w:pPr>
      <w:r>
        <w:rPr>
          <w:i/>
        </w:rPr>
        <w:t>Deaths:</w:t>
      </w:r>
    </w:p>
    <w:p w14:paraId="163A57C3" w14:textId="57E2D6D2" w:rsidR="007902A5" w:rsidRDefault="00213688" w:rsidP="007902A5">
      <w:pPr>
        <w:autoSpaceDE w:val="0"/>
        <w:autoSpaceDN w:val="0"/>
        <w:adjustRightInd w:val="0"/>
        <w:spacing w:after="0" w:line="240" w:lineRule="auto"/>
        <w:rPr>
          <w:rFonts w:ascii="Calibri" w:hAnsi="Calibri" w:cs="Calibri"/>
        </w:rPr>
      </w:pPr>
      <w:r>
        <w:rPr>
          <w:rFonts w:ascii="Calibri" w:hAnsi="Calibri" w:cs="Calibri"/>
        </w:rPr>
        <w:t>D</w:t>
      </w:r>
      <w:r w:rsidR="007902A5">
        <w:rPr>
          <w:rFonts w:ascii="Calibri" w:hAnsi="Calibri" w:cs="Calibri"/>
        </w:rPr>
        <w:t>eaths</w:t>
      </w:r>
      <w:r>
        <w:rPr>
          <w:rFonts w:ascii="Calibri" w:hAnsi="Calibri" w:cs="Calibri"/>
        </w:rPr>
        <w:t xml:space="preserve"> estimated</w:t>
      </w:r>
      <w:r w:rsidR="007902A5">
        <w:rPr>
          <w:rFonts w:ascii="Calibri" w:hAnsi="Calibri" w:cs="Calibri"/>
        </w:rPr>
        <w:t xml:space="preserve"> due to five subtypes of chronic kidney disease: diabetes mellitus (DM) type 1, diabetes mellitus (DM) type 2, hypertension, glomerulonephritis, and other causes. Data from end-stage renal disease registries were used to inform estimates of proportion of CKD mortality attributable to each CKD subtype.  </w:t>
      </w:r>
    </w:p>
    <w:p w14:paraId="57458272" w14:textId="77777777" w:rsidR="007902A5" w:rsidRDefault="007902A5" w:rsidP="007902A5">
      <w:pPr>
        <w:autoSpaceDE w:val="0"/>
        <w:autoSpaceDN w:val="0"/>
        <w:adjustRightInd w:val="0"/>
        <w:spacing w:after="0" w:line="240" w:lineRule="auto"/>
        <w:rPr>
          <w:rFonts w:ascii="Calibri" w:hAnsi="Calibri" w:cs="Calibri"/>
        </w:rPr>
      </w:pPr>
    </w:p>
    <w:p w14:paraId="20AA2882" w14:textId="77777777" w:rsidR="007902A5" w:rsidRDefault="007902A5" w:rsidP="007902A5">
      <w:pPr>
        <w:autoSpaceDE w:val="0"/>
        <w:autoSpaceDN w:val="0"/>
        <w:adjustRightInd w:val="0"/>
        <w:spacing w:after="0" w:line="240" w:lineRule="auto"/>
        <w:rPr>
          <w:rFonts w:ascii="Calibri" w:hAnsi="Calibri" w:cs="Calibri"/>
        </w:rPr>
      </w:pPr>
      <w:r>
        <w:rPr>
          <w:rFonts w:ascii="Calibri" w:hAnsi="Calibri" w:cs="Calibri"/>
        </w:rPr>
        <w:t>CKD codes:</w:t>
      </w:r>
    </w:p>
    <w:p w14:paraId="3AE0B594" w14:textId="77777777" w:rsidR="007902A5" w:rsidRDefault="007902A5" w:rsidP="007902A5">
      <w:pPr>
        <w:autoSpaceDE w:val="0"/>
        <w:autoSpaceDN w:val="0"/>
        <w:adjustRightInd w:val="0"/>
        <w:spacing w:after="0" w:line="240" w:lineRule="auto"/>
        <w:rPr>
          <w:rFonts w:ascii="Calibri" w:hAnsi="Calibri" w:cs="Calibri"/>
        </w:rPr>
      </w:pPr>
      <w:r>
        <w:rPr>
          <w:rFonts w:ascii="Calibri" w:hAnsi="Calibri" w:cs="Calibri"/>
        </w:rPr>
        <w:t>ICD10 - D63.1, E10.2, E11.2, I12-I13.9, N02-N08.8, N15.0, N18-N18.9, Q61-Q62.8</w:t>
      </w:r>
    </w:p>
    <w:p w14:paraId="59A2CB00" w14:textId="77777777" w:rsidR="007902A5" w:rsidRDefault="007902A5" w:rsidP="007902A5">
      <w:pPr>
        <w:autoSpaceDE w:val="0"/>
        <w:autoSpaceDN w:val="0"/>
        <w:adjustRightInd w:val="0"/>
        <w:spacing w:after="0" w:line="240" w:lineRule="auto"/>
        <w:rPr>
          <w:rFonts w:ascii="Calibri" w:hAnsi="Calibri" w:cs="Calibri"/>
        </w:rPr>
      </w:pPr>
    </w:p>
    <w:p w14:paraId="5552AFD7" w14:textId="77777777" w:rsidR="007902A5" w:rsidRDefault="007902A5" w:rsidP="007902A5">
      <w:pPr>
        <w:spacing w:after="0"/>
        <w:rPr>
          <w:rFonts w:ascii="Calibri" w:hAnsi="Calibri" w:cs="Calibri"/>
          <w:i/>
        </w:rPr>
      </w:pPr>
      <w:r>
        <w:rPr>
          <w:rFonts w:ascii="Calibri" w:hAnsi="Calibri" w:cs="Calibri"/>
          <w:i/>
        </w:rPr>
        <w:t>ESRD prevalence:</w:t>
      </w:r>
    </w:p>
    <w:p w14:paraId="6030BA13" w14:textId="77777777" w:rsidR="007902A5" w:rsidRDefault="007902A5" w:rsidP="007902A5">
      <w:pPr>
        <w:spacing w:after="0"/>
        <w:rPr>
          <w:rFonts w:cstheme="minorHAnsi"/>
        </w:rPr>
      </w:pPr>
      <w:r>
        <w:rPr>
          <w:rFonts w:cstheme="minorHAnsi"/>
          <w:i/>
        </w:rPr>
        <w:t xml:space="preserve">Prevalent cases are from </w:t>
      </w:r>
      <w:r>
        <w:rPr>
          <w:rFonts w:cstheme="minorHAnsi"/>
        </w:rPr>
        <w:t>population-based surveys that measured renal function. For maintenance dialysis and renal transplantation, data were largely obtained from renal registry reports.</w:t>
      </w:r>
    </w:p>
    <w:p w14:paraId="485F451E" w14:textId="77777777" w:rsidR="007902A5" w:rsidRDefault="007902A5" w:rsidP="007902A5">
      <w:pPr>
        <w:spacing w:after="0"/>
        <w:rPr>
          <w:rFonts w:ascii="Calibri" w:hAnsi="Calibri" w:cs="Calibri"/>
        </w:rPr>
      </w:pPr>
    </w:p>
    <w:p w14:paraId="09EB5E0D" w14:textId="77777777" w:rsidR="007902A5" w:rsidRDefault="007902A5" w:rsidP="007902A5">
      <w:pPr>
        <w:rPr>
          <w:rFonts w:ascii="MyriadPro-Cond" w:eastAsia="MyriadPro-Cond" w:cs="MyriadPro-Cond"/>
        </w:rPr>
      </w:pPr>
      <w:r>
        <w:rPr>
          <w:b/>
        </w:rPr>
        <w:t>Measurement frequency:</w:t>
      </w:r>
      <w:r>
        <w:t xml:space="preserve"> Annual.</w:t>
      </w:r>
    </w:p>
    <w:p w14:paraId="2583DD82" w14:textId="77777777" w:rsidR="007902A5" w:rsidRDefault="007902A5" w:rsidP="007902A5">
      <w:r>
        <w:rPr>
          <w:b/>
        </w:rPr>
        <w:t>Monitoring and evaluation framework:</w:t>
      </w:r>
      <w:r>
        <w:t xml:space="preserve"> Outcome.</w:t>
      </w:r>
    </w:p>
    <w:p w14:paraId="4ED59453" w14:textId="77777777" w:rsidR="007902A5" w:rsidRDefault="007902A5" w:rsidP="007902A5">
      <w:pPr>
        <w:rPr>
          <w:rFonts w:ascii="MyriadPro-Cond" w:eastAsia="MyriadPro-Cond" w:cs="MyriadPro-Cond"/>
        </w:rPr>
      </w:pPr>
      <w:r>
        <w:rPr>
          <w:b/>
        </w:rPr>
        <w:t>Preferred data sources:</w:t>
      </w:r>
      <w:r>
        <w:t xml:space="preserve"> CRVS, national registries and population-based surveys that measured health function</w:t>
      </w:r>
    </w:p>
    <w:p w14:paraId="72A814A8" w14:textId="1F49A0DC" w:rsidR="007902A5" w:rsidRDefault="007902A5" w:rsidP="007902A5"/>
    <w:p w14:paraId="352D6F70" w14:textId="77777777" w:rsidR="007902A5" w:rsidRDefault="007902A5" w:rsidP="007902A5">
      <w:pPr>
        <w:rPr>
          <w:b/>
        </w:rPr>
      </w:pPr>
    </w:p>
    <w:p w14:paraId="2B18DFA6" w14:textId="77777777" w:rsidR="007902A5" w:rsidRDefault="007902A5" w:rsidP="007902A5">
      <w:pPr>
        <w:rPr>
          <w:b/>
        </w:rPr>
      </w:pPr>
    </w:p>
    <w:p w14:paraId="7448B37A" w14:textId="77777777" w:rsidR="007902A5" w:rsidRDefault="007902A5" w:rsidP="007902A5">
      <w:pPr>
        <w:rPr>
          <w:b/>
        </w:rPr>
      </w:pPr>
    </w:p>
    <w:p w14:paraId="1A2A8033" w14:textId="4C089CF1" w:rsidR="007902A5" w:rsidRDefault="007902A5" w:rsidP="007902A5">
      <w:pPr>
        <w:rPr>
          <w:b/>
        </w:rPr>
      </w:pPr>
    </w:p>
    <w:p w14:paraId="0179A2DF" w14:textId="77777777" w:rsidR="007902A5" w:rsidRDefault="007902A5" w:rsidP="007902A5">
      <w:pPr>
        <w:rPr>
          <w:b/>
        </w:rPr>
      </w:pPr>
    </w:p>
    <w:p w14:paraId="6B84D587" w14:textId="77777777" w:rsidR="007902A5" w:rsidRPr="00953574" w:rsidRDefault="007902A5" w:rsidP="007902A5">
      <w:pPr>
        <w:rPr>
          <w:u w:val="single"/>
        </w:rPr>
      </w:pPr>
      <w:r w:rsidRPr="00953574">
        <w:rPr>
          <w:b/>
          <w:u w:val="single"/>
        </w:rPr>
        <w:t xml:space="preserve">31. </w:t>
      </w:r>
      <w:r w:rsidRPr="00953574">
        <w:rPr>
          <w:u w:val="single"/>
        </w:rPr>
        <w:t>EC cataract surgery.</w:t>
      </w:r>
    </w:p>
    <w:p w14:paraId="6200944D" w14:textId="77777777" w:rsidR="007902A5" w:rsidRDefault="007902A5" w:rsidP="007902A5">
      <w:pPr>
        <w:rPr>
          <w:rFonts w:ascii="MyriadPro-Cond" w:eastAsia="MyriadPro-Cond" w:cs="MyriadPro-Cond"/>
        </w:rPr>
      </w:pPr>
      <w:r>
        <w:rPr>
          <w:b/>
        </w:rPr>
        <w:t>Domain of Global Reference List:</w:t>
      </w:r>
      <w:r>
        <w:t xml:space="preserve"> Service coverage.</w:t>
      </w:r>
    </w:p>
    <w:p w14:paraId="4B463C57" w14:textId="77777777" w:rsidR="007902A5" w:rsidRDefault="007902A5" w:rsidP="007902A5">
      <w:pPr>
        <w:rPr>
          <w:b/>
        </w:rPr>
      </w:pPr>
      <w:r>
        <w:rPr>
          <w:b/>
        </w:rPr>
        <w:t>Rationale:</w:t>
      </w:r>
      <w:r>
        <w:t xml:space="preserve"> It is a tracer indicator. Cataract surgery is a marker of access to basic health services.</w:t>
      </w:r>
    </w:p>
    <w:p w14:paraId="6085C4CC" w14:textId="77777777" w:rsidR="007902A5" w:rsidRDefault="007902A5" w:rsidP="007902A5">
      <w:r w:rsidRPr="00AA5BAA">
        <w:rPr>
          <w:b/>
        </w:rPr>
        <w:t>Numerator:</w:t>
      </w:r>
      <w:r>
        <w:t xml:space="preserve"> </w:t>
      </w:r>
      <w:r w:rsidRPr="00C01EB7">
        <w:t>number of individuals with cataracts who have received cataract surgery</w:t>
      </w:r>
      <w:r>
        <w:t>.</w:t>
      </w:r>
    </w:p>
    <w:p w14:paraId="06DBB53B" w14:textId="77777777" w:rsidR="007902A5" w:rsidRPr="00D75793" w:rsidRDefault="007902A5" w:rsidP="007902A5">
      <w:r>
        <w:rPr>
          <w:b/>
        </w:rPr>
        <w:t xml:space="preserve">Denominator: </w:t>
      </w:r>
      <w:r w:rsidRPr="00C01EB7">
        <w:t>number of individuals with severe visual impairment or blindness from cataracts + the number of individuals who have received cataract surgery</w:t>
      </w:r>
      <w:r>
        <w:t>.</w:t>
      </w:r>
    </w:p>
    <w:p w14:paraId="35C45A39" w14:textId="77777777" w:rsidR="007902A5" w:rsidRPr="006D63ED" w:rsidRDefault="007902A5" w:rsidP="007902A5">
      <w:r>
        <w:rPr>
          <w:b/>
        </w:rPr>
        <w:t xml:space="preserve">Case definition: </w:t>
      </w:r>
      <w:r>
        <w:t>The definition for each severity level of distance vision loss is below:</w:t>
      </w:r>
    </w:p>
    <w:tbl>
      <w:tblPr>
        <w:tblW w:w="63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23"/>
        <w:gridCol w:w="2792"/>
      </w:tblGrid>
      <w:tr w:rsidR="007902A5" w:rsidRPr="00077E86" w14:paraId="314B95E1" w14:textId="77777777" w:rsidTr="00994FE1">
        <w:trPr>
          <w:jc w:val="center"/>
        </w:trPr>
        <w:tc>
          <w:tcPr>
            <w:tcW w:w="3523" w:type="dxa"/>
            <w:tcMar>
              <w:top w:w="0" w:type="dxa"/>
              <w:left w:w="108" w:type="dxa"/>
              <w:bottom w:w="0" w:type="dxa"/>
              <w:right w:w="108" w:type="dxa"/>
            </w:tcMar>
            <w:hideMark/>
          </w:tcPr>
          <w:p w14:paraId="48C6029D" w14:textId="77777777" w:rsidR="007902A5" w:rsidRPr="00077E86" w:rsidRDefault="007902A5" w:rsidP="00994FE1">
            <w:pPr>
              <w:rPr>
                <w:rFonts w:asciiTheme="majorHAnsi" w:hAnsiTheme="majorHAnsi"/>
                <w:b/>
                <w:bCs/>
              </w:rPr>
            </w:pPr>
            <w:r w:rsidRPr="00077E86">
              <w:rPr>
                <w:rFonts w:asciiTheme="majorHAnsi" w:hAnsiTheme="majorHAnsi"/>
                <w:b/>
                <w:bCs/>
              </w:rPr>
              <w:t>Condition</w:t>
            </w:r>
          </w:p>
        </w:tc>
        <w:tc>
          <w:tcPr>
            <w:tcW w:w="2792" w:type="dxa"/>
            <w:tcMar>
              <w:top w:w="0" w:type="dxa"/>
              <w:left w:w="108" w:type="dxa"/>
              <w:bottom w:w="0" w:type="dxa"/>
              <w:right w:w="108" w:type="dxa"/>
            </w:tcMar>
            <w:hideMark/>
          </w:tcPr>
          <w:p w14:paraId="6F5F2CEE" w14:textId="77777777" w:rsidR="007902A5" w:rsidRPr="00077E86" w:rsidRDefault="007902A5" w:rsidP="00994FE1">
            <w:pPr>
              <w:rPr>
                <w:rFonts w:asciiTheme="majorHAnsi" w:hAnsiTheme="majorHAnsi"/>
                <w:b/>
                <w:bCs/>
              </w:rPr>
            </w:pPr>
            <w:r w:rsidRPr="00077E86">
              <w:rPr>
                <w:rFonts w:asciiTheme="majorHAnsi" w:hAnsiTheme="majorHAnsi"/>
                <w:b/>
                <w:bCs/>
              </w:rPr>
              <w:t>Case definition</w:t>
            </w:r>
          </w:p>
        </w:tc>
      </w:tr>
      <w:tr w:rsidR="007902A5" w:rsidRPr="00077E86" w14:paraId="487A8964" w14:textId="77777777" w:rsidTr="00994FE1">
        <w:trPr>
          <w:jc w:val="center"/>
        </w:trPr>
        <w:tc>
          <w:tcPr>
            <w:tcW w:w="3523" w:type="dxa"/>
            <w:tcMar>
              <w:top w:w="0" w:type="dxa"/>
              <w:left w:w="108" w:type="dxa"/>
              <w:bottom w:w="0" w:type="dxa"/>
              <w:right w:w="108" w:type="dxa"/>
            </w:tcMar>
            <w:hideMark/>
          </w:tcPr>
          <w:p w14:paraId="3BC1B679" w14:textId="77777777" w:rsidR="007902A5" w:rsidRPr="00077E86" w:rsidRDefault="007902A5" w:rsidP="00994FE1">
            <w:pPr>
              <w:rPr>
                <w:rFonts w:asciiTheme="majorHAnsi" w:hAnsiTheme="majorHAnsi"/>
              </w:rPr>
            </w:pPr>
            <w:r w:rsidRPr="00077E86">
              <w:rPr>
                <w:rFonts w:asciiTheme="majorHAnsi" w:hAnsiTheme="majorHAnsi"/>
              </w:rPr>
              <w:t>Blindness</w:t>
            </w:r>
          </w:p>
        </w:tc>
        <w:tc>
          <w:tcPr>
            <w:tcW w:w="2792" w:type="dxa"/>
            <w:tcMar>
              <w:top w:w="0" w:type="dxa"/>
              <w:left w:w="108" w:type="dxa"/>
              <w:bottom w:w="0" w:type="dxa"/>
              <w:right w:w="108" w:type="dxa"/>
            </w:tcMar>
            <w:hideMark/>
          </w:tcPr>
          <w:p w14:paraId="118222B7" w14:textId="77777777" w:rsidR="007902A5" w:rsidRPr="00077E86" w:rsidRDefault="007902A5" w:rsidP="00994FE1">
            <w:pPr>
              <w:rPr>
                <w:rFonts w:asciiTheme="majorHAnsi" w:hAnsiTheme="majorHAnsi"/>
              </w:rPr>
            </w:pPr>
            <w:r w:rsidRPr="00077E86">
              <w:rPr>
                <w:rFonts w:asciiTheme="majorHAnsi" w:hAnsiTheme="majorHAnsi"/>
                <w:color w:val="000000"/>
              </w:rPr>
              <w:t>Visual acuity of &lt;3/60 or &lt;10% visual field around central fixation</w:t>
            </w:r>
          </w:p>
        </w:tc>
      </w:tr>
      <w:tr w:rsidR="007902A5" w:rsidRPr="00077E86" w14:paraId="18308F28" w14:textId="77777777" w:rsidTr="00994FE1">
        <w:trPr>
          <w:jc w:val="center"/>
        </w:trPr>
        <w:tc>
          <w:tcPr>
            <w:tcW w:w="3523" w:type="dxa"/>
            <w:tcMar>
              <w:top w:w="0" w:type="dxa"/>
              <w:left w:w="108" w:type="dxa"/>
              <w:bottom w:w="0" w:type="dxa"/>
              <w:right w:w="108" w:type="dxa"/>
            </w:tcMar>
            <w:hideMark/>
          </w:tcPr>
          <w:p w14:paraId="1FF5A309" w14:textId="77777777" w:rsidR="007902A5" w:rsidRPr="00077E86" w:rsidRDefault="007902A5" w:rsidP="00994FE1">
            <w:pPr>
              <w:rPr>
                <w:rFonts w:asciiTheme="majorHAnsi" w:hAnsiTheme="majorHAnsi"/>
              </w:rPr>
            </w:pPr>
            <w:r w:rsidRPr="00077E86">
              <w:rPr>
                <w:rFonts w:asciiTheme="majorHAnsi" w:hAnsiTheme="majorHAnsi"/>
              </w:rPr>
              <w:t xml:space="preserve">Severe vision impairment </w:t>
            </w:r>
          </w:p>
        </w:tc>
        <w:tc>
          <w:tcPr>
            <w:tcW w:w="2792" w:type="dxa"/>
            <w:tcMar>
              <w:top w:w="0" w:type="dxa"/>
              <w:left w:w="108" w:type="dxa"/>
              <w:bottom w:w="0" w:type="dxa"/>
              <w:right w:w="108" w:type="dxa"/>
            </w:tcMar>
            <w:hideMark/>
          </w:tcPr>
          <w:p w14:paraId="2D7C64B7" w14:textId="77777777" w:rsidR="007902A5" w:rsidRPr="00077E86" w:rsidRDefault="007902A5" w:rsidP="00994FE1">
            <w:pPr>
              <w:rPr>
                <w:rFonts w:asciiTheme="majorHAnsi" w:hAnsiTheme="majorHAnsi"/>
              </w:rPr>
            </w:pPr>
            <w:r w:rsidRPr="00077E86">
              <w:rPr>
                <w:rFonts w:asciiTheme="majorHAnsi" w:hAnsiTheme="majorHAnsi"/>
              </w:rPr>
              <w:t>≥</w:t>
            </w:r>
            <w:r w:rsidRPr="00077E86">
              <w:rPr>
                <w:rFonts w:asciiTheme="majorHAnsi" w:hAnsiTheme="majorHAnsi"/>
                <w:color w:val="000000"/>
              </w:rPr>
              <w:t>3/60 and &lt;6/60</w:t>
            </w:r>
          </w:p>
        </w:tc>
      </w:tr>
      <w:tr w:rsidR="007902A5" w:rsidRPr="00077E86" w14:paraId="65DBA0FD" w14:textId="77777777" w:rsidTr="00994FE1">
        <w:trPr>
          <w:jc w:val="center"/>
        </w:trPr>
        <w:tc>
          <w:tcPr>
            <w:tcW w:w="3523" w:type="dxa"/>
            <w:tcMar>
              <w:top w:w="0" w:type="dxa"/>
              <w:left w:w="108" w:type="dxa"/>
              <w:bottom w:w="0" w:type="dxa"/>
              <w:right w:w="108" w:type="dxa"/>
            </w:tcMar>
            <w:hideMark/>
          </w:tcPr>
          <w:p w14:paraId="19F0C0BC" w14:textId="77777777" w:rsidR="007902A5" w:rsidRPr="00077E86" w:rsidRDefault="007902A5" w:rsidP="00994FE1">
            <w:pPr>
              <w:rPr>
                <w:rFonts w:asciiTheme="majorHAnsi" w:hAnsiTheme="majorHAnsi"/>
              </w:rPr>
            </w:pPr>
            <w:r w:rsidRPr="00077E86">
              <w:rPr>
                <w:rFonts w:asciiTheme="majorHAnsi" w:hAnsiTheme="majorHAnsi"/>
              </w:rPr>
              <w:t xml:space="preserve">Moderate vision impairment </w:t>
            </w:r>
          </w:p>
        </w:tc>
        <w:tc>
          <w:tcPr>
            <w:tcW w:w="2792" w:type="dxa"/>
            <w:tcMar>
              <w:top w:w="0" w:type="dxa"/>
              <w:left w:w="108" w:type="dxa"/>
              <w:bottom w:w="0" w:type="dxa"/>
              <w:right w:w="108" w:type="dxa"/>
            </w:tcMar>
            <w:hideMark/>
          </w:tcPr>
          <w:p w14:paraId="441E9F8C" w14:textId="77777777" w:rsidR="007902A5" w:rsidRPr="00077E86" w:rsidRDefault="007902A5" w:rsidP="00994FE1">
            <w:pPr>
              <w:rPr>
                <w:rFonts w:asciiTheme="majorHAnsi" w:hAnsiTheme="majorHAnsi"/>
              </w:rPr>
            </w:pPr>
            <w:r w:rsidRPr="00077E86">
              <w:rPr>
                <w:rFonts w:asciiTheme="majorHAnsi" w:hAnsiTheme="majorHAnsi"/>
              </w:rPr>
              <w:t>≥</w:t>
            </w:r>
            <w:r w:rsidRPr="00077E86">
              <w:rPr>
                <w:rFonts w:asciiTheme="majorHAnsi" w:hAnsiTheme="majorHAnsi"/>
                <w:color w:val="000000"/>
              </w:rPr>
              <w:t>6/60 and &lt;6/18</w:t>
            </w:r>
          </w:p>
        </w:tc>
      </w:tr>
    </w:tbl>
    <w:p w14:paraId="35BBEFAA" w14:textId="77777777" w:rsidR="007902A5" w:rsidRPr="005C1DB3" w:rsidRDefault="007902A5" w:rsidP="007902A5"/>
    <w:p w14:paraId="05E619DD" w14:textId="77777777" w:rsidR="007902A5" w:rsidRPr="00B872EB" w:rsidRDefault="007902A5" w:rsidP="007902A5">
      <w:r>
        <w:rPr>
          <w:b/>
        </w:rPr>
        <w:t xml:space="preserve">Method of measurement: </w:t>
      </w:r>
      <w:r>
        <w:t xml:space="preserve">Data on overall vision impairment come from surveys measuring visual acuity in representative population-based studies, either from publications in peer-reviewed and grey literature or surveys for which we had the unit record data. Data were excluded if no test was used of visual acuity that can be converted to the Snellen scale, and if a study did </w:t>
      </w:r>
      <w:r w:rsidRPr="00390A15">
        <w:rPr>
          <w:rFonts w:hint="eastAsia"/>
        </w:rPr>
        <w:t xml:space="preserve">not assess </w:t>
      </w:r>
      <w:r w:rsidRPr="00390A15">
        <w:t>“presenting” or “best-corrected” vision</w:t>
      </w:r>
      <w:r>
        <w:t>.</w:t>
      </w:r>
      <w:r w:rsidRPr="001F4743">
        <w:t xml:space="preserve"> </w:t>
      </w:r>
      <w:r>
        <w:t>A subset of these studies that reported vision loss by cause were used to estimate the prevalence of vision loss due to cataract, glaucoma, macular degeneration, diabetic retinopathy, and other causes.</w:t>
      </w:r>
    </w:p>
    <w:p w14:paraId="677AE33D" w14:textId="77777777" w:rsidR="007902A5" w:rsidRDefault="007902A5" w:rsidP="007902A5">
      <w:pPr>
        <w:rPr>
          <w:rFonts w:ascii="MyriadPro-Cond" w:eastAsia="MyriadPro-Cond" w:cs="MyriadPro-Cond"/>
        </w:rPr>
      </w:pPr>
      <w:r>
        <w:rPr>
          <w:b/>
        </w:rPr>
        <w:t>Measurement frequency:</w:t>
      </w:r>
      <w:r>
        <w:t xml:space="preserve"> Annual.</w:t>
      </w:r>
    </w:p>
    <w:p w14:paraId="706C7E96" w14:textId="77777777" w:rsidR="007902A5" w:rsidRDefault="007902A5" w:rsidP="007902A5">
      <w:r>
        <w:rPr>
          <w:b/>
        </w:rPr>
        <w:t>Monitoring and evaluation framework:</w:t>
      </w:r>
      <w:r>
        <w:t xml:space="preserve"> Outcome.</w:t>
      </w:r>
    </w:p>
    <w:p w14:paraId="0D41421F" w14:textId="77777777" w:rsidR="007902A5" w:rsidRDefault="007902A5" w:rsidP="007902A5">
      <w:pPr>
        <w:rPr>
          <w:rFonts w:ascii="MyriadPro-Cond" w:eastAsia="MyriadPro-Cond" w:cs="MyriadPro-Cond"/>
        </w:rPr>
      </w:pPr>
      <w:r>
        <w:rPr>
          <w:b/>
        </w:rPr>
        <w:t>Preferred data sources:</w:t>
      </w:r>
      <w:r>
        <w:t xml:space="preserve"> Nationally-representative, population based individual-level survey data.</w:t>
      </w:r>
    </w:p>
    <w:p w14:paraId="1B925C08" w14:textId="6C56F9C1" w:rsidR="007902A5" w:rsidRPr="00610D00" w:rsidRDefault="007902A5" w:rsidP="007902A5"/>
    <w:p w14:paraId="58E15E4B" w14:textId="77777777" w:rsidR="007902A5" w:rsidRDefault="007902A5" w:rsidP="007902A5">
      <w:pPr>
        <w:rPr>
          <w:b/>
          <w:u w:val="single"/>
        </w:rPr>
      </w:pPr>
    </w:p>
    <w:p w14:paraId="58EB56B6" w14:textId="77777777" w:rsidR="007902A5" w:rsidRDefault="007902A5" w:rsidP="007902A5">
      <w:pPr>
        <w:rPr>
          <w:b/>
          <w:u w:val="single"/>
        </w:rPr>
      </w:pPr>
    </w:p>
    <w:p w14:paraId="576A5A6F" w14:textId="77777777" w:rsidR="007902A5" w:rsidRDefault="007902A5" w:rsidP="007902A5">
      <w:pPr>
        <w:rPr>
          <w:b/>
          <w:u w:val="single"/>
        </w:rPr>
      </w:pPr>
    </w:p>
    <w:p w14:paraId="43910C60" w14:textId="298966A3" w:rsidR="007902A5" w:rsidRDefault="007902A5" w:rsidP="007902A5">
      <w:pPr>
        <w:rPr>
          <w:b/>
          <w:u w:val="single"/>
        </w:rPr>
      </w:pPr>
    </w:p>
    <w:p w14:paraId="2E949438" w14:textId="77777777" w:rsidR="007902A5" w:rsidRPr="002554F5" w:rsidRDefault="007902A5" w:rsidP="007902A5">
      <w:pPr>
        <w:rPr>
          <w:u w:val="single"/>
        </w:rPr>
      </w:pPr>
      <w:r>
        <w:rPr>
          <w:b/>
          <w:u w:val="single"/>
        </w:rPr>
        <w:t>32</w:t>
      </w:r>
      <w:r w:rsidRPr="002554F5">
        <w:rPr>
          <w:b/>
          <w:u w:val="single"/>
        </w:rPr>
        <w:t xml:space="preserve">. </w:t>
      </w:r>
      <w:r w:rsidRPr="00C01EB7">
        <w:rPr>
          <w:u w:val="single"/>
        </w:rPr>
        <w:t>EC edentulism (any individual with zero remaining permanent teeth)</w:t>
      </w:r>
      <w:r w:rsidRPr="002554F5">
        <w:rPr>
          <w:u w:val="single"/>
        </w:rPr>
        <w:t>.</w:t>
      </w:r>
    </w:p>
    <w:p w14:paraId="1506FDEA" w14:textId="77777777" w:rsidR="007902A5" w:rsidRDefault="007902A5" w:rsidP="007902A5">
      <w:pPr>
        <w:rPr>
          <w:rFonts w:ascii="MyriadPro-Cond" w:eastAsia="MyriadPro-Cond" w:cs="MyriadPro-Cond"/>
        </w:rPr>
      </w:pPr>
      <w:r>
        <w:rPr>
          <w:b/>
        </w:rPr>
        <w:t>Domain of Global Reference List:</w:t>
      </w:r>
      <w:r>
        <w:t xml:space="preserve"> Service coverage.</w:t>
      </w:r>
    </w:p>
    <w:p w14:paraId="4847BE1E" w14:textId="77777777" w:rsidR="007902A5" w:rsidRPr="00D572CE" w:rsidRDefault="007902A5" w:rsidP="007902A5">
      <w:r w:rsidRPr="00D572CE">
        <w:rPr>
          <w:b/>
        </w:rPr>
        <w:t xml:space="preserve">Rationale: It is a tracer indicator. </w:t>
      </w:r>
      <w:r w:rsidRPr="00D572CE">
        <w:t>Edentulism is a highly amenable oral disorder and is a marker of access to quality dental care services.</w:t>
      </w:r>
    </w:p>
    <w:p w14:paraId="03556303" w14:textId="77777777" w:rsidR="007902A5" w:rsidRPr="00D572CE" w:rsidRDefault="007902A5" w:rsidP="007902A5">
      <w:r w:rsidRPr="00D572CE">
        <w:rPr>
          <w:b/>
        </w:rPr>
        <w:t xml:space="preserve">Numerator: </w:t>
      </w:r>
      <w:r w:rsidRPr="00C01EB7">
        <w:t>n</w:t>
      </w:r>
      <w:r>
        <w:t xml:space="preserve">umber of individuals aged ≥65 </w:t>
      </w:r>
      <w:r w:rsidRPr="00C01EB7">
        <w:t>years with edentulism</w:t>
      </w:r>
      <w:r>
        <w:t>.</w:t>
      </w:r>
    </w:p>
    <w:p w14:paraId="7DC422F5" w14:textId="77777777" w:rsidR="007902A5" w:rsidRPr="00D75793" w:rsidRDefault="007902A5" w:rsidP="007902A5">
      <w:r>
        <w:rPr>
          <w:b/>
        </w:rPr>
        <w:t xml:space="preserve">Denominator: </w:t>
      </w:r>
      <w:r w:rsidRPr="00C01EB7">
        <w:t>the number of individuals in the population aged ≥65 years</w:t>
      </w:r>
      <w:r>
        <w:t>.</w:t>
      </w:r>
    </w:p>
    <w:p w14:paraId="687E0C09" w14:textId="77777777" w:rsidR="007902A5" w:rsidRPr="005C1DB3" w:rsidRDefault="007902A5" w:rsidP="007902A5">
      <w:r>
        <w:rPr>
          <w:b/>
        </w:rPr>
        <w:t xml:space="preserve">Case definition: </w:t>
      </w:r>
      <w:r>
        <w:t>The case definition of edentulism includes any individual with zero remaining permanent teeth; toothlessness of infancy is not included.</w:t>
      </w:r>
    </w:p>
    <w:p w14:paraId="46A0AFED" w14:textId="77777777" w:rsidR="007902A5" w:rsidRPr="00D572CE" w:rsidRDefault="007902A5" w:rsidP="007902A5">
      <w:r>
        <w:rPr>
          <w:b/>
        </w:rPr>
        <w:t xml:space="preserve">Method of measurement: </w:t>
      </w:r>
      <w:r>
        <w:t>Scientific literature and survey data, such as World Health Survey data.</w:t>
      </w:r>
    </w:p>
    <w:p w14:paraId="1D89FE34" w14:textId="77777777" w:rsidR="007902A5" w:rsidRDefault="007902A5" w:rsidP="007902A5">
      <w:pPr>
        <w:rPr>
          <w:rFonts w:ascii="MyriadPro-Cond" w:eastAsia="MyriadPro-Cond" w:cs="MyriadPro-Cond"/>
        </w:rPr>
      </w:pPr>
      <w:r>
        <w:rPr>
          <w:b/>
        </w:rPr>
        <w:t>Measurement frequency:</w:t>
      </w:r>
      <w:r>
        <w:t xml:space="preserve"> Annual.</w:t>
      </w:r>
    </w:p>
    <w:p w14:paraId="51E9C1F8" w14:textId="77777777" w:rsidR="007902A5" w:rsidRDefault="007902A5" w:rsidP="007902A5">
      <w:r>
        <w:rPr>
          <w:b/>
        </w:rPr>
        <w:t>Monitoring and evaluation framework:</w:t>
      </w:r>
      <w:r>
        <w:t xml:space="preserve"> Outcome.</w:t>
      </w:r>
    </w:p>
    <w:p w14:paraId="0FC31FF6" w14:textId="77777777" w:rsidR="007902A5" w:rsidRDefault="007902A5" w:rsidP="007902A5">
      <w:pPr>
        <w:rPr>
          <w:rFonts w:ascii="MyriadPro-Cond" w:eastAsia="MyriadPro-Cond" w:cs="MyriadPro-Cond"/>
        </w:rPr>
      </w:pPr>
      <w:r>
        <w:rPr>
          <w:b/>
        </w:rPr>
        <w:t>Preferred data sources:</w:t>
      </w:r>
      <w:r>
        <w:t xml:space="preserve"> Nationally-representative, individual-level survey data.</w:t>
      </w:r>
    </w:p>
    <w:p w14:paraId="4BADE42D" w14:textId="439BB86A" w:rsidR="007902A5" w:rsidRPr="00610D00" w:rsidRDefault="007902A5" w:rsidP="007902A5"/>
    <w:p w14:paraId="69177AF2" w14:textId="77777777" w:rsidR="007902A5" w:rsidRDefault="007902A5" w:rsidP="007902A5">
      <w:pPr>
        <w:rPr>
          <w:b/>
        </w:rPr>
      </w:pPr>
    </w:p>
    <w:p w14:paraId="44D485A2" w14:textId="77777777" w:rsidR="007902A5" w:rsidRDefault="007902A5" w:rsidP="007902A5">
      <w:pPr>
        <w:rPr>
          <w:b/>
          <w:u w:val="single"/>
        </w:rPr>
      </w:pPr>
    </w:p>
    <w:p w14:paraId="28176B06" w14:textId="77777777" w:rsidR="007902A5" w:rsidRDefault="007902A5" w:rsidP="007902A5">
      <w:pPr>
        <w:rPr>
          <w:b/>
          <w:u w:val="single"/>
        </w:rPr>
      </w:pPr>
    </w:p>
    <w:p w14:paraId="2571907C" w14:textId="77777777" w:rsidR="007902A5" w:rsidRDefault="007902A5" w:rsidP="007902A5">
      <w:pPr>
        <w:rPr>
          <w:b/>
          <w:u w:val="single"/>
        </w:rPr>
      </w:pPr>
    </w:p>
    <w:p w14:paraId="10C0AD95" w14:textId="77777777" w:rsidR="007902A5" w:rsidRDefault="007902A5" w:rsidP="007902A5">
      <w:pPr>
        <w:rPr>
          <w:b/>
          <w:u w:val="single"/>
        </w:rPr>
      </w:pPr>
    </w:p>
    <w:p w14:paraId="4ACFDA03" w14:textId="77777777" w:rsidR="007902A5" w:rsidRDefault="007902A5" w:rsidP="007902A5">
      <w:pPr>
        <w:rPr>
          <w:b/>
          <w:u w:val="single"/>
        </w:rPr>
      </w:pPr>
    </w:p>
    <w:p w14:paraId="22EB775D" w14:textId="77777777" w:rsidR="007902A5" w:rsidRDefault="007902A5" w:rsidP="007902A5">
      <w:pPr>
        <w:rPr>
          <w:b/>
          <w:u w:val="single"/>
        </w:rPr>
      </w:pPr>
    </w:p>
    <w:p w14:paraId="3E4EEF32" w14:textId="77777777" w:rsidR="007902A5" w:rsidRDefault="007902A5" w:rsidP="007902A5">
      <w:pPr>
        <w:rPr>
          <w:b/>
          <w:u w:val="single"/>
        </w:rPr>
      </w:pPr>
    </w:p>
    <w:p w14:paraId="753B24C8" w14:textId="77777777" w:rsidR="007902A5" w:rsidRDefault="007902A5" w:rsidP="007902A5">
      <w:pPr>
        <w:rPr>
          <w:b/>
          <w:u w:val="single"/>
        </w:rPr>
      </w:pPr>
    </w:p>
    <w:p w14:paraId="78FF01C4" w14:textId="77777777" w:rsidR="007902A5" w:rsidRDefault="007902A5" w:rsidP="007902A5">
      <w:pPr>
        <w:rPr>
          <w:b/>
          <w:u w:val="single"/>
        </w:rPr>
      </w:pPr>
    </w:p>
    <w:p w14:paraId="69F3B8CF" w14:textId="77777777" w:rsidR="007902A5" w:rsidRDefault="007902A5" w:rsidP="007902A5">
      <w:pPr>
        <w:rPr>
          <w:b/>
          <w:u w:val="single"/>
        </w:rPr>
      </w:pPr>
    </w:p>
    <w:p w14:paraId="4605B9BC" w14:textId="77777777" w:rsidR="007902A5" w:rsidRDefault="007902A5" w:rsidP="007902A5">
      <w:pPr>
        <w:rPr>
          <w:b/>
          <w:u w:val="single"/>
        </w:rPr>
      </w:pPr>
    </w:p>
    <w:p w14:paraId="21B82457" w14:textId="77777777" w:rsidR="00055F78" w:rsidRDefault="00055F78" w:rsidP="007902A5">
      <w:pPr>
        <w:rPr>
          <w:b/>
          <w:u w:val="single"/>
        </w:rPr>
      </w:pPr>
    </w:p>
    <w:p w14:paraId="043F29F9" w14:textId="04E008A4" w:rsidR="007902A5" w:rsidRPr="002554F5" w:rsidRDefault="007902A5" w:rsidP="007902A5">
      <w:pPr>
        <w:rPr>
          <w:u w:val="single"/>
        </w:rPr>
      </w:pPr>
      <w:r>
        <w:rPr>
          <w:b/>
          <w:u w:val="single"/>
        </w:rPr>
        <w:t>33</w:t>
      </w:r>
      <w:r w:rsidRPr="002554F5">
        <w:rPr>
          <w:b/>
          <w:u w:val="single"/>
        </w:rPr>
        <w:t xml:space="preserve">. </w:t>
      </w:r>
      <w:r w:rsidRPr="00C01EB7">
        <w:rPr>
          <w:u w:val="single"/>
        </w:rPr>
        <w:t>EC severe mental health conditions</w:t>
      </w:r>
      <w:r w:rsidRPr="002554F5">
        <w:rPr>
          <w:u w:val="single"/>
        </w:rPr>
        <w:t>.</w:t>
      </w:r>
    </w:p>
    <w:p w14:paraId="0639EDA8" w14:textId="77777777" w:rsidR="007902A5" w:rsidRDefault="007902A5" w:rsidP="007902A5">
      <w:pPr>
        <w:rPr>
          <w:rFonts w:ascii="MyriadPro-Cond" w:eastAsia="MyriadPro-Cond" w:cs="MyriadPro-Cond"/>
        </w:rPr>
      </w:pPr>
      <w:r>
        <w:rPr>
          <w:b/>
        </w:rPr>
        <w:t>Domain of Global Reference List:</w:t>
      </w:r>
      <w:r>
        <w:t xml:space="preserve"> Service coverage.</w:t>
      </w:r>
    </w:p>
    <w:p w14:paraId="775F0258" w14:textId="77777777" w:rsidR="007902A5" w:rsidRPr="00D572CE" w:rsidRDefault="007902A5" w:rsidP="007902A5">
      <w:r w:rsidRPr="00D572CE">
        <w:rPr>
          <w:b/>
        </w:rPr>
        <w:t xml:space="preserve">Rationale: It is a tracer indicator. </w:t>
      </w:r>
      <w:r w:rsidRPr="00D572CE">
        <w:t>Edentulism is a highly amenable oral disorder and is a marker of access to quality dental care services.</w:t>
      </w:r>
    </w:p>
    <w:p w14:paraId="12E9F2A4" w14:textId="77777777" w:rsidR="007902A5" w:rsidRPr="00D572CE" w:rsidRDefault="007902A5" w:rsidP="007902A5">
      <w:r w:rsidRPr="00D572CE">
        <w:rPr>
          <w:b/>
        </w:rPr>
        <w:t xml:space="preserve">Numerator: </w:t>
      </w:r>
      <w:r w:rsidRPr="00C01EB7">
        <w:t>number of people on treatment for severe mental health conditions</w:t>
      </w:r>
      <w:r>
        <w:t>.</w:t>
      </w:r>
    </w:p>
    <w:p w14:paraId="340E3D0B" w14:textId="77777777" w:rsidR="007902A5" w:rsidRPr="00D75793" w:rsidRDefault="007902A5" w:rsidP="007902A5">
      <w:r>
        <w:rPr>
          <w:b/>
        </w:rPr>
        <w:t xml:space="preserve">Denominator: </w:t>
      </w:r>
      <w:r w:rsidRPr="00C01EB7">
        <w:t>number of people with severe mental health conditions</w:t>
      </w:r>
      <w:r>
        <w:t>.</w:t>
      </w:r>
    </w:p>
    <w:p w14:paraId="2148A311" w14:textId="77777777" w:rsidR="007902A5" w:rsidRDefault="007902A5" w:rsidP="007902A5">
      <w:pPr>
        <w:spacing w:after="0" w:line="240" w:lineRule="auto"/>
        <w:rPr>
          <w:rFonts w:ascii="Calibri" w:eastAsia="Times New Roman" w:hAnsi="Calibri" w:cs="Calibri"/>
          <w:sz w:val="18"/>
          <w:szCs w:val="18"/>
        </w:rPr>
      </w:pPr>
      <w:r>
        <w:rPr>
          <w:b/>
        </w:rPr>
        <w:t xml:space="preserve">Case definition: </w:t>
      </w:r>
      <w:r w:rsidRPr="00C01EB7">
        <w:t>Severe mental disorder: psychosis; bipolar affective disorder; moderate-severe depression</w:t>
      </w:r>
      <w:r>
        <w:t>.</w:t>
      </w:r>
    </w:p>
    <w:p w14:paraId="7AA4955E" w14:textId="77777777" w:rsidR="007902A5" w:rsidRPr="00C01EB7" w:rsidRDefault="007902A5" w:rsidP="007902A5">
      <w:pPr>
        <w:spacing w:after="0" w:line="240" w:lineRule="auto"/>
        <w:rPr>
          <w:rFonts w:ascii="Calibri" w:eastAsia="Times New Roman" w:hAnsi="Calibri" w:cs="Calibri"/>
          <w:sz w:val="18"/>
          <w:szCs w:val="18"/>
        </w:rPr>
      </w:pPr>
    </w:p>
    <w:p w14:paraId="17034152" w14:textId="77777777" w:rsidR="007902A5" w:rsidRPr="00D572CE" w:rsidRDefault="007902A5" w:rsidP="007902A5">
      <w:r>
        <w:rPr>
          <w:b/>
        </w:rPr>
        <w:t xml:space="preserve">Method of measurement: </w:t>
      </w:r>
      <m:oMath>
        <m:r>
          <m:rPr>
            <m:nor/>
          </m:rPr>
          <w:rPr>
            <w:rFonts w:eastAsia="Times New Roman" w:cstheme="minorHAnsi"/>
          </w:rPr>
          <m:t xml:space="preserve">Service coverage = </m:t>
        </m:r>
        <m:f>
          <m:fPr>
            <m:ctrlPr>
              <w:rPr>
                <w:rFonts w:ascii="Cambria Math" w:eastAsia="Times New Roman" w:hAnsi="Cambria Math" w:cstheme="minorHAnsi"/>
                <w:i/>
              </w:rPr>
            </m:ctrlPr>
          </m:fPr>
          <m:num>
            <m:r>
              <m:rPr>
                <m:nor/>
              </m:rPr>
              <w:rPr>
                <w:rFonts w:eastAsia="Times New Roman" w:cstheme="minorHAnsi"/>
              </w:rPr>
              <m:t>Number of people in receipt of services</m:t>
            </m:r>
          </m:num>
          <m:den>
            <m:r>
              <m:rPr>
                <m:nor/>
              </m:rPr>
              <w:rPr>
                <w:rFonts w:eastAsia="Times New Roman" w:cstheme="minorHAnsi"/>
              </w:rPr>
              <m:t>Number of people with severe mental disorders</m:t>
            </m:r>
          </m:den>
        </m:f>
        <m:r>
          <m:rPr>
            <m:nor/>
          </m:rPr>
          <w:rPr>
            <w:rFonts w:eastAsia="Times New Roman" w:cstheme="minorHAnsi"/>
          </w:rPr>
          <m:t xml:space="preserve"> ×</m:t>
        </m:r>
        <m:r>
          <m:rPr>
            <m:nor/>
          </m:rPr>
          <w:rPr>
            <w:rFonts w:ascii="Cambria Math" w:eastAsia="Times New Roman" w:cstheme="minorHAnsi"/>
          </w:rPr>
          <m:t xml:space="preserve"> </m:t>
        </m:r>
        <m:r>
          <m:rPr>
            <m:nor/>
          </m:rPr>
          <w:rPr>
            <w:rFonts w:eastAsia="Times New Roman" w:cstheme="minorHAnsi"/>
          </w:rPr>
          <m:t>100%</m:t>
        </m:r>
      </m:oMath>
    </w:p>
    <w:p w14:paraId="72ED982A" w14:textId="77777777" w:rsidR="007902A5" w:rsidRDefault="007902A5" w:rsidP="007902A5">
      <w:pPr>
        <w:rPr>
          <w:rFonts w:ascii="MyriadPro-Cond" w:eastAsia="MyriadPro-Cond" w:cs="MyriadPro-Cond"/>
        </w:rPr>
      </w:pPr>
      <w:r>
        <w:rPr>
          <w:b/>
        </w:rPr>
        <w:t>Measurement frequency:</w:t>
      </w:r>
      <w:r>
        <w:t xml:space="preserve"> </w:t>
      </w:r>
      <w:r w:rsidRPr="00A21ED5">
        <w:t>Every 3-5 years. For example, the Mental Health Atlas collects data every 3 years on the proportion of people with mental disorders served by mental health systems.</w:t>
      </w:r>
    </w:p>
    <w:p w14:paraId="1FF37800" w14:textId="77777777" w:rsidR="007902A5" w:rsidRDefault="007902A5" w:rsidP="007902A5">
      <w:r>
        <w:rPr>
          <w:b/>
        </w:rPr>
        <w:t>Monitoring and evaluation framework:</w:t>
      </w:r>
      <w:r>
        <w:t xml:space="preserve"> Outcome.</w:t>
      </w:r>
    </w:p>
    <w:p w14:paraId="5A4F4B79" w14:textId="77777777" w:rsidR="007902A5" w:rsidRDefault="007902A5" w:rsidP="007902A5">
      <w:pPr>
        <w:rPr>
          <w:rFonts w:ascii="MyriadPro-Cond" w:eastAsia="MyriadPro-Cond" w:cs="MyriadPro-Cond"/>
        </w:rPr>
      </w:pPr>
      <w:r>
        <w:rPr>
          <w:b/>
        </w:rPr>
        <w:t>Preferred data sources</w:t>
      </w:r>
      <w:r w:rsidRPr="00C01EB7">
        <w:rPr>
          <w:b/>
        </w:rPr>
        <w:t>:</w:t>
      </w:r>
      <w:r w:rsidRPr="00C01EB7">
        <w:t xml:space="preserve"> </w:t>
      </w:r>
      <w:r w:rsidRPr="00C01EB7">
        <w:rPr>
          <w:rFonts w:ascii="Calibri" w:eastAsia="Times New Roman" w:hAnsi="Calibri" w:cs="Calibri"/>
        </w:rPr>
        <w:t>Facility surveys; Routine information systems; Population-based household surveys; Modelling of prevalence using GBD data</w:t>
      </w:r>
      <w:r w:rsidRPr="00C01EB7">
        <w:t>, as well as from administrative data sources</w:t>
      </w:r>
      <w:r>
        <w:t xml:space="preserve"> </w:t>
      </w:r>
    </w:p>
    <w:p w14:paraId="2F0F58FE" w14:textId="77777777" w:rsidR="007902A5" w:rsidRPr="00A21ED5" w:rsidRDefault="007902A5" w:rsidP="007902A5">
      <w:r w:rsidRPr="008A4643">
        <w:rPr>
          <w:b/>
        </w:rPr>
        <w:t>Limitations</w:t>
      </w:r>
      <w:r>
        <w:rPr>
          <w:b/>
        </w:rPr>
        <w:t xml:space="preserve">: </w:t>
      </w:r>
      <w:r w:rsidRPr="00A21ED5">
        <w:t>Current metrics only relate to specialist mental health services</w:t>
      </w:r>
    </w:p>
    <w:p w14:paraId="7AD5E1A9" w14:textId="77777777" w:rsidR="007902A5" w:rsidRDefault="007902A5" w:rsidP="007902A5">
      <w:pPr>
        <w:rPr>
          <w:b/>
          <w:u w:val="single"/>
        </w:rPr>
      </w:pPr>
    </w:p>
    <w:p w14:paraId="7A3F04FB" w14:textId="77777777" w:rsidR="007902A5" w:rsidRDefault="007902A5" w:rsidP="007902A5">
      <w:pPr>
        <w:rPr>
          <w:b/>
          <w:u w:val="single"/>
        </w:rPr>
      </w:pPr>
    </w:p>
    <w:p w14:paraId="5EAF034C" w14:textId="77777777" w:rsidR="007902A5" w:rsidRDefault="007902A5" w:rsidP="007902A5">
      <w:pPr>
        <w:rPr>
          <w:b/>
          <w:u w:val="single"/>
        </w:rPr>
      </w:pPr>
    </w:p>
    <w:p w14:paraId="7B1E6D06" w14:textId="77777777" w:rsidR="007902A5" w:rsidRDefault="007902A5" w:rsidP="007902A5">
      <w:pPr>
        <w:rPr>
          <w:b/>
          <w:u w:val="single"/>
        </w:rPr>
      </w:pPr>
    </w:p>
    <w:p w14:paraId="59496707" w14:textId="77777777" w:rsidR="007902A5" w:rsidRDefault="007902A5" w:rsidP="007902A5">
      <w:pPr>
        <w:rPr>
          <w:b/>
          <w:u w:val="single"/>
        </w:rPr>
      </w:pPr>
    </w:p>
    <w:p w14:paraId="70026E74" w14:textId="77777777" w:rsidR="007902A5" w:rsidRDefault="007902A5" w:rsidP="007902A5">
      <w:pPr>
        <w:rPr>
          <w:b/>
          <w:u w:val="single"/>
        </w:rPr>
      </w:pPr>
    </w:p>
    <w:p w14:paraId="28543C19" w14:textId="77777777" w:rsidR="007902A5" w:rsidRDefault="007902A5" w:rsidP="007902A5">
      <w:pPr>
        <w:rPr>
          <w:b/>
          <w:u w:val="single"/>
        </w:rPr>
      </w:pPr>
    </w:p>
    <w:p w14:paraId="42924A8C" w14:textId="77777777" w:rsidR="007902A5" w:rsidRDefault="007902A5" w:rsidP="007902A5">
      <w:pPr>
        <w:rPr>
          <w:b/>
          <w:u w:val="single"/>
        </w:rPr>
      </w:pPr>
    </w:p>
    <w:p w14:paraId="0142B0EF" w14:textId="77777777" w:rsidR="007902A5" w:rsidRDefault="007902A5" w:rsidP="007902A5">
      <w:pPr>
        <w:rPr>
          <w:b/>
          <w:u w:val="single"/>
        </w:rPr>
      </w:pPr>
    </w:p>
    <w:p w14:paraId="768A6CA7" w14:textId="77777777" w:rsidR="007902A5" w:rsidRDefault="007902A5" w:rsidP="007902A5">
      <w:pPr>
        <w:rPr>
          <w:b/>
          <w:u w:val="single"/>
        </w:rPr>
      </w:pPr>
    </w:p>
    <w:p w14:paraId="37774CD6" w14:textId="77777777" w:rsidR="007902A5" w:rsidRDefault="007902A5" w:rsidP="007902A5">
      <w:pPr>
        <w:rPr>
          <w:b/>
          <w:u w:val="single"/>
        </w:rPr>
      </w:pPr>
    </w:p>
    <w:p w14:paraId="0571C323" w14:textId="45C11CE3" w:rsidR="007902A5" w:rsidRDefault="007902A5" w:rsidP="007902A5">
      <w:pPr>
        <w:rPr>
          <w:b/>
          <w:u w:val="single"/>
        </w:rPr>
      </w:pPr>
    </w:p>
    <w:p w14:paraId="7857D2B4" w14:textId="77777777" w:rsidR="007902A5" w:rsidRPr="00A01C6F" w:rsidRDefault="007902A5" w:rsidP="007902A5">
      <w:pPr>
        <w:rPr>
          <w:u w:val="single"/>
        </w:rPr>
      </w:pPr>
      <w:r>
        <w:rPr>
          <w:b/>
          <w:u w:val="single"/>
        </w:rPr>
        <w:t>34</w:t>
      </w:r>
      <w:r w:rsidRPr="00A01C6F">
        <w:rPr>
          <w:b/>
          <w:u w:val="single"/>
        </w:rPr>
        <w:t xml:space="preserve">. </w:t>
      </w:r>
      <w:r w:rsidRPr="00A21ED5">
        <w:rPr>
          <w:bCs/>
          <w:u w:val="single"/>
        </w:rPr>
        <w:t>EC treatment for substance abus</w:t>
      </w:r>
      <w:r>
        <w:rPr>
          <w:bCs/>
          <w:u w:val="single"/>
        </w:rPr>
        <w:t>e</w:t>
      </w:r>
      <w:r w:rsidRPr="00A01C6F">
        <w:rPr>
          <w:bCs/>
          <w:u w:val="single"/>
        </w:rPr>
        <w:t>.</w:t>
      </w:r>
      <w:r w:rsidRPr="00A01C6F">
        <w:rPr>
          <w:u w:val="single"/>
        </w:rPr>
        <w:t xml:space="preserve"> </w:t>
      </w:r>
    </w:p>
    <w:p w14:paraId="5C3B3E0C" w14:textId="77777777" w:rsidR="007902A5" w:rsidRDefault="007902A5" w:rsidP="007902A5">
      <w:pPr>
        <w:rPr>
          <w:rFonts w:ascii="MyriadPro-Cond" w:eastAsia="MyriadPro-Cond" w:cs="MyriadPro-Cond"/>
        </w:rPr>
      </w:pPr>
      <w:r>
        <w:rPr>
          <w:b/>
        </w:rPr>
        <w:t>Domain of global reference list:</w:t>
      </w:r>
      <w:r>
        <w:t xml:space="preserve"> Service Coverage. </w:t>
      </w:r>
    </w:p>
    <w:p w14:paraId="67C83989" w14:textId="77777777" w:rsidR="007902A5" w:rsidRDefault="007902A5" w:rsidP="007902A5">
      <w:pPr>
        <w:rPr>
          <w:b/>
        </w:rPr>
      </w:pPr>
      <w:r>
        <w:rPr>
          <w:b/>
        </w:rPr>
        <w:t>Rationale:</w:t>
      </w:r>
      <w:r>
        <w:t xml:space="preserve"> It is a tracer indicator. </w:t>
      </w:r>
    </w:p>
    <w:p w14:paraId="07541B2F" w14:textId="77777777" w:rsidR="007902A5" w:rsidRDefault="007902A5" w:rsidP="007902A5">
      <w:r>
        <w:rPr>
          <w:b/>
        </w:rPr>
        <w:t>Numerator:</w:t>
      </w:r>
      <w:r>
        <w:t xml:space="preserve"> </w:t>
      </w:r>
      <w:r w:rsidRPr="00A21ED5">
        <w:t>number of people who have received different treatment interventions in the past year</w:t>
      </w:r>
      <w:r w:rsidRPr="00E659BB">
        <w:t xml:space="preserve">. </w:t>
      </w:r>
    </w:p>
    <w:p w14:paraId="40A38875" w14:textId="77777777" w:rsidR="007902A5" w:rsidRDefault="007902A5" w:rsidP="007902A5">
      <w:r>
        <w:rPr>
          <w:b/>
        </w:rPr>
        <w:t xml:space="preserve">Denominator: </w:t>
      </w:r>
      <w:r w:rsidRPr="00A21ED5">
        <w:t>number of people with substance abuse disorder</w:t>
      </w:r>
      <w:r>
        <w:t xml:space="preserve">. </w:t>
      </w:r>
    </w:p>
    <w:p w14:paraId="5CB6B4B0" w14:textId="77777777" w:rsidR="007902A5" w:rsidRDefault="007902A5" w:rsidP="007902A5">
      <w:pPr>
        <w:rPr>
          <w:b/>
        </w:rPr>
      </w:pPr>
      <w:r>
        <w:rPr>
          <w:b/>
        </w:rPr>
        <w:t xml:space="preserve">Case definition: </w:t>
      </w:r>
      <w:r>
        <w:t>Proxied using the fraction of individuals with substance use disorders (e.g. alcohol or drug dependence, substance-induced disorders) at least tentatively in contact with treatment providers during the past 12 months OR the number of people for whom service is available in a given year (availability coverage)</w:t>
      </w:r>
    </w:p>
    <w:p w14:paraId="683EA903" w14:textId="77777777" w:rsidR="007902A5" w:rsidRDefault="007902A5" w:rsidP="007902A5">
      <w:r>
        <w:rPr>
          <w:b/>
        </w:rPr>
        <w:t xml:space="preserve">Method of measurement: </w:t>
      </w:r>
      <w:r>
        <w:t>as above, mathematical modelling (in the process of development)</w:t>
      </w:r>
    </w:p>
    <w:p w14:paraId="46E6D991" w14:textId="77777777" w:rsidR="007902A5" w:rsidRDefault="007902A5" w:rsidP="007902A5">
      <w:pPr>
        <w:rPr>
          <w:rFonts w:ascii="MyriadPro-Cond" w:eastAsia="MyriadPro-Cond" w:cs="MyriadPro-Cond"/>
        </w:rPr>
      </w:pPr>
      <w:r>
        <w:rPr>
          <w:b/>
        </w:rPr>
        <w:t>Measurement frequency:</w:t>
      </w:r>
      <w:r>
        <w:t xml:space="preserve">  Every 2-3 years depending on resources available</w:t>
      </w:r>
    </w:p>
    <w:p w14:paraId="213564B9" w14:textId="77777777" w:rsidR="007902A5" w:rsidRDefault="007902A5" w:rsidP="007902A5">
      <w:r>
        <w:rPr>
          <w:b/>
        </w:rPr>
        <w:t>Monitoring and evaluation framework:</w:t>
      </w:r>
      <w:r>
        <w:t xml:space="preserve"> Outcome.</w:t>
      </w:r>
    </w:p>
    <w:p w14:paraId="1865C6E8" w14:textId="77777777" w:rsidR="007902A5" w:rsidRDefault="007902A5" w:rsidP="007902A5">
      <w:pPr>
        <w:rPr>
          <w:rFonts w:ascii="MyriadPro-Cond" w:eastAsia="MyriadPro-Cond" w:cs="MyriadPro-Cond"/>
        </w:rPr>
      </w:pPr>
      <w:r>
        <w:rPr>
          <w:b/>
        </w:rPr>
        <w:t>Preferred data sources:</w:t>
      </w:r>
      <w:r>
        <w:t xml:space="preserve"> Individual-level, nationally-representative survey data, administrative records from ministries of health with complete information, data collected by treatment and intervention programmes, facility surveys, results of the WHO Survey on Prevention and Treatment Resources for substance use disorders and UNODC data collection using Annual Report Questionnaire (ARQ), expert reports and opinions, indirect methods.  </w:t>
      </w:r>
    </w:p>
    <w:p w14:paraId="138C6084" w14:textId="77777777" w:rsidR="007902A5" w:rsidRDefault="007902A5" w:rsidP="007902A5">
      <w:r>
        <w:rPr>
          <w:b/>
        </w:rPr>
        <w:t xml:space="preserve">Limitations: </w:t>
      </w:r>
      <w:r>
        <w:t xml:space="preserve">Challenging in measuring effective/contact treatment coverage. Validity and reliability of prevalence estimates for substance use disorders. Availability of service utilization and service capacity data.  </w:t>
      </w:r>
    </w:p>
    <w:p w14:paraId="0B5F5E34" w14:textId="77777777" w:rsidR="007902A5" w:rsidRDefault="007902A5" w:rsidP="007902A5">
      <w:pPr>
        <w:rPr>
          <w:b/>
          <w:u w:val="single"/>
        </w:rPr>
      </w:pPr>
    </w:p>
    <w:p w14:paraId="64ADB7D9" w14:textId="77777777" w:rsidR="007902A5" w:rsidRDefault="007902A5" w:rsidP="007902A5">
      <w:pPr>
        <w:rPr>
          <w:b/>
          <w:u w:val="single"/>
        </w:rPr>
      </w:pPr>
    </w:p>
    <w:p w14:paraId="7772DA31" w14:textId="77777777" w:rsidR="007902A5" w:rsidRDefault="007902A5" w:rsidP="007902A5">
      <w:pPr>
        <w:rPr>
          <w:b/>
          <w:u w:val="single"/>
        </w:rPr>
      </w:pPr>
    </w:p>
    <w:p w14:paraId="0C298C41" w14:textId="77777777" w:rsidR="007902A5" w:rsidRDefault="007902A5" w:rsidP="007902A5">
      <w:pPr>
        <w:rPr>
          <w:b/>
          <w:u w:val="single"/>
        </w:rPr>
      </w:pPr>
    </w:p>
    <w:p w14:paraId="30F6563B" w14:textId="77777777" w:rsidR="007902A5" w:rsidRDefault="007902A5" w:rsidP="007902A5">
      <w:pPr>
        <w:rPr>
          <w:b/>
          <w:u w:val="single"/>
        </w:rPr>
      </w:pPr>
    </w:p>
    <w:p w14:paraId="7556ED3F" w14:textId="77777777" w:rsidR="007902A5" w:rsidRDefault="007902A5" w:rsidP="007902A5">
      <w:pPr>
        <w:rPr>
          <w:b/>
          <w:u w:val="single"/>
        </w:rPr>
      </w:pPr>
    </w:p>
    <w:p w14:paraId="22D88598" w14:textId="77777777" w:rsidR="007902A5" w:rsidRDefault="007902A5" w:rsidP="007902A5">
      <w:pPr>
        <w:rPr>
          <w:b/>
          <w:u w:val="single"/>
        </w:rPr>
      </w:pPr>
    </w:p>
    <w:p w14:paraId="6789EDDC" w14:textId="77777777" w:rsidR="007902A5" w:rsidRDefault="007902A5" w:rsidP="007902A5">
      <w:pPr>
        <w:rPr>
          <w:b/>
          <w:u w:val="single"/>
        </w:rPr>
      </w:pPr>
    </w:p>
    <w:p w14:paraId="6687D947" w14:textId="654418C6" w:rsidR="007902A5" w:rsidRDefault="007902A5" w:rsidP="007902A5">
      <w:pPr>
        <w:rPr>
          <w:b/>
        </w:rPr>
      </w:pPr>
    </w:p>
    <w:p w14:paraId="04A76E22" w14:textId="77777777" w:rsidR="007902A5" w:rsidRPr="009845B9" w:rsidRDefault="007902A5" w:rsidP="007902A5">
      <w:pPr>
        <w:rPr>
          <w:u w:val="single"/>
        </w:rPr>
      </w:pPr>
      <w:r>
        <w:rPr>
          <w:b/>
          <w:u w:val="single"/>
        </w:rPr>
        <w:t>35</w:t>
      </w:r>
      <w:r w:rsidRPr="009845B9">
        <w:rPr>
          <w:b/>
          <w:u w:val="single"/>
        </w:rPr>
        <w:t xml:space="preserve">. </w:t>
      </w:r>
      <w:r w:rsidRPr="009845B9">
        <w:rPr>
          <w:u w:val="single"/>
        </w:rPr>
        <w:t xml:space="preserve">Effective Coverage of prehospital emergency care services. </w:t>
      </w:r>
    </w:p>
    <w:p w14:paraId="2638D310" w14:textId="77777777" w:rsidR="007902A5" w:rsidRDefault="007902A5" w:rsidP="007902A5">
      <w:r>
        <w:rPr>
          <w:b/>
        </w:rPr>
        <w:t>Domain of global reference list:</w:t>
      </w:r>
      <w:r>
        <w:t xml:space="preserve"> Service Coverage. </w:t>
      </w:r>
    </w:p>
    <w:p w14:paraId="6D05D5F1" w14:textId="77777777" w:rsidR="007902A5" w:rsidRDefault="007902A5" w:rsidP="007902A5">
      <w:pPr>
        <w:rPr>
          <w:rFonts w:ascii="MyriadPro-Cond" w:eastAsia="MyriadPro-Cond" w:cs="MyriadPro-Cond"/>
        </w:rPr>
      </w:pPr>
      <w:r w:rsidRPr="00DE410D">
        <w:rPr>
          <w:b/>
          <w:bCs/>
        </w:rPr>
        <w:t>Proxy:</w:t>
      </w:r>
      <w:r>
        <w:t xml:space="preserve"> </w:t>
      </w:r>
      <w:r w:rsidRPr="00DE410D">
        <w:t>Proxied by proportion of adults and children dying of acute injury in hospital among all acute injury deaths.</w:t>
      </w:r>
    </w:p>
    <w:p w14:paraId="13ED632F" w14:textId="77777777" w:rsidR="007902A5" w:rsidRDefault="007902A5" w:rsidP="007902A5">
      <w:pPr>
        <w:rPr>
          <w:b/>
        </w:rPr>
      </w:pPr>
      <w:r>
        <w:rPr>
          <w:b/>
        </w:rPr>
        <w:t>Rationale:</w:t>
      </w:r>
      <w:r>
        <w:t xml:space="preserve"> It is a tracer indicator. </w:t>
      </w:r>
    </w:p>
    <w:p w14:paraId="1502B374" w14:textId="77777777" w:rsidR="007902A5" w:rsidRDefault="007902A5" w:rsidP="007902A5">
      <w:r>
        <w:rPr>
          <w:b/>
        </w:rPr>
        <w:t>Numerator:</w:t>
      </w:r>
      <w:r>
        <w:t xml:space="preserve"> </w:t>
      </w:r>
      <w:r w:rsidRPr="00A21ED5">
        <w:t>number of hospital-based deaths due to acute injury (excludes “brought dead” or “dead on arrival”)</w:t>
      </w:r>
      <w:r>
        <w:t xml:space="preserve">. </w:t>
      </w:r>
    </w:p>
    <w:p w14:paraId="23AB3785" w14:textId="77777777" w:rsidR="007902A5" w:rsidRDefault="007902A5" w:rsidP="007902A5">
      <w:r>
        <w:rPr>
          <w:b/>
        </w:rPr>
        <w:t xml:space="preserve">Denominator: </w:t>
      </w:r>
      <w:r w:rsidRPr="00A21ED5">
        <w:t>number of all acute injury deaths</w:t>
      </w:r>
      <w:r w:rsidRPr="00DE410D">
        <w:t>.</w:t>
      </w:r>
    </w:p>
    <w:p w14:paraId="7A7D9CA4" w14:textId="77777777" w:rsidR="007902A5" w:rsidRDefault="007902A5" w:rsidP="007902A5">
      <w:pPr>
        <w:rPr>
          <w:b/>
        </w:rPr>
      </w:pPr>
      <w:r>
        <w:rPr>
          <w:b/>
        </w:rPr>
        <w:t>Case definition:  N/A</w:t>
      </w:r>
    </w:p>
    <w:p w14:paraId="3FEF29AD" w14:textId="77777777" w:rsidR="007902A5" w:rsidRPr="00D20050" w:rsidRDefault="007902A5" w:rsidP="007902A5">
      <w:r>
        <w:rPr>
          <w:b/>
        </w:rPr>
        <w:t xml:space="preserve">Method of measurement: </w:t>
      </w:r>
    </w:p>
    <w:p w14:paraId="551EB37A" w14:textId="77777777" w:rsidR="007902A5" w:rsidRDefault="007902A5" w:rsidP="007902A5">
      <w:pPr>
        <w:rPr>
          <w:rFonts w:ascii="MyriadPro-Cond" w:eastAsia="MyriadPro-Cond" w:cs="MyriadPro-Cond"/>
        </w:rPr>
      </w:pPr>
      <w:r>
        <w:rPr>
          <w:b/>
        </w:rPr>
        <w:t>Measurement frequency:</w:t>
      </w:r>
      <w:r>
        <w:t xml:space="preserve"> Annual</w:t>
      </w:r>
    </w:p>
    <w:p w14:paraId="15D8432A" w14:textId="77777777" w:rsidR="007902A5" w:rsidRDefault="007902A5" w:rsidP="007902A5">
      <w:r>
        <w:rPr>
          <w:b/>
        </w:rPr>
        <w:t>Monitoring and evaluation framework:</w:t>
      </w:r>
      <w:r>
        <w:t xml:space="preserve"> Outcome.</w:t>
      </w:r>
    </w:p>
    <w:p w14:paraId="74C9C7C2" w14:textId="0A23E083" w:rsidR="007902A5" w:rsidRDefault="007902A5" w:rsidP="007902A5">
      <w:pPr>
        <w:rPr>
          <w:rFonts w:ascii="MyriadPro-Cond" w:eastAsia="MyriadPro-Cond" w:cs="MyriadPro-Cond"/>
        </w:rPr>
      </w:pPr>
      <w:r>
        <w:rPr>
          <w:b/>
        </w:rPr>
        <w:t>Preferred data sources:</w:t>
      </w:r>
      <w:r w:rsidRPr="00DE410D">
        <w:t xml:space="preserve"> </w:t>
      </w:r>
      <w:r>
        <w:t>Vital statistics data (cause and location of death), hospital records</w:t>
      </w:r>
      <w:r w:rsidR="00994FE1">
        <w:t>.</w:t>
      </w:r>
    </w:p>
    <w:p w14:paraId="07FCD92A" w14:textId="77777777" w:rsidR="00994FE1" w:rsidRPr="00994FE1" w:rsidRDefault="00994FE1" w:rsidP="007902A5">
      <w:pPr>
        <w:rPr>
          <w:rFonts w:ascii="MyriadPro-Cond" w:eastAsia="MyriadPro-Cond" w:cs="MyriadPro-Cond"/>
        </w:rPr>
      </w:pPr>
    </w:p>
    <w:p w14:paraId="7C015535" w14:textId="77777777" w:rsidR="007902A5" w:rsidRDefault="007902A5" w:rsidP="007902A5">
      <w:pPr>
        <w:rPr>
          <w:b/>
          <w:i/>
          <w:iCs/>
          <w:color w:val="C00000"/>
          <w:sz w:val="24"/>
          <w:szCs w:val="24"/>
          <w:u w:val="single"/>
        </w:rPr>
      </w:pPr>
    </w:p>
    <w:p w14:paraId="5A2EDCA5" w14:textId="77777777" w:rsidR="007902A5" w:rsidRDefault="007902A5" w:rsidP="007902A5">
      <w:pPr>
        <w:rPr>
          <w:b/>
          <w:i/>
          <w:iCs/>
          <w:color w:val="C00000"/>
          <w:sz w:val="24"/>
          <w:szCs w:val="24"/>
          <w:u w:val="single"/>
        </w:rPr>
      </w:pPr>
    </w:p>
    <w:p w14:paraId="52D392A9" w14:textId="77777777" w:rsidR="007902A5" w:rsidRDefault="007902A5" w:rsidP="007902A5">
      <w:pPr>
        <w:rPr>
          <w:b/>
          <w:i/>
          <w:iCs/>
          <w:color w:val="C00000"/>
          <w:sz w:val="24"/>
          <w:szCs w:val="24"/>
          <w:u w:val="single"/>
        </w:rPr>
      </w:pPr>
    </w:p>
    <w:p w14:paraId="19AE4CBE" w14:textId="77777777" w:rsidR="007902A5" w:rsidRDefault="007902A5" w:rsidP="007902A5">
      <w:pPr>
        <w:rPr>
          <w:b/>
          <w:i/>
          <w:iCs/>
          <w:color w:val="C00000"/>
          <w:sz w:val="24"/>
          <w:szCs w:val="24"/>
          <w:u w:val="single"/>
        </w:rPr>
      </w:pPr>
    </w:p>
    <w:p w14:paraId="4EC2C55A" w14:textId="77777777" w:rsidR="007902A5" w:rsidRDefault="007902A5" w:rsidP="007902A5">
      <w:pPr>
        <w:rPr>
          <w:b/>
          <w:i/>
          <w:iCs/>
          <w:color w:val="C00000"/>
          <w:sz w:val="24"/>
          <w:szCs w:val="24"/>
          <w:u w:val="single"/>
        </w:rPr>
      </w:pPr>
    </w:p>
    <w:p w14:paraId="2119ED9B" w14:textId="77777777" w:rsidR="007902A5" w:rsidRDefault="007902A5" w:rsidP="007902A5">
      <w:pPr>
        <w:rPr>
          <w:b/>
          <w:i/>
          <w:iCs/>
          <w:color w:val="C00000"/>
          <w:sz w:val="24"/>
          <w:szCs w:val="24"/>
          <w:u w:val="single"/>
        </w:rPr>
      </w:pPr>
    </w:p>
    <w:p w14:paraId="7ABD19F6" w14:textId="77777777" w:rsidR="007902A5" w:rsidRDefault="007902A5" w:rsidP="007902A5">
      <w:pPr>
        <w:rPr>
          <w:b/>
          <w:i/>
          <w:iCs/>
          <w:color w:val="C00000"/>
          <w:sz w:val="24"/>
          <w:szCs w:val="24"/>
          <w:u w:val="single"/>
        </w:rPr>
      </w:pPr>
    </w:p>
    <w:p w14:paraId="4399FD96" w14:textId="77777777" w:rsidR="007902A5" w:rsidRDefault="007902A5" w:rsidP="007902A5">
      <w:pPr>
        <w:rPr>
          <w:b/>
          <w:i/>
          <w:iCs/>
          <w:color w:val="C00000"/>
          <w:sz w:val="24"/>
          <w:szCs w:val="24"/>
          <w:u w:val="single"/>
        </w:rPr>
      </w:pPr>
    </w:p>
    <w:p w14:paraId="05A229DB" w14:textId="77777777" w:rsidR="007902A5" w:rsidRDefault="007902A5" w:rsidP="007902A5">
      <w:pPr>
        <w:rPr>
          <w:b/>
          <w:i/>
          <w:iCs/>
          <w:color w:val="C00000"/>
          <w:sz w:val="24"/>
          <w:szCs w:val="24"/>
          <w:u w:val="single"/>
        </w:rPr>
      </w:pPr>
    </w:p>
    <w:p w14:paraId="123AD828" w14:textId="3E6BBD83" w:rsidR="007902A5" w:rsidRDefault="007902A5" w:rsidP="007902A5">
      <w:pPr>
        <w:rPr>
          <w:b/>
          <w:i/>
          <w:iCs/>
          <w:color w:val="C00000"/>
          <w:sz w:val="24"/>
          <w:szCs w:val="24"/>
          <w:u w:val="single"/>
        </w:rPr>
      </w:pPr>
    </w:p>
    <w:p w14:paraId="460E1429" w14:textId="77777777" w:rsidR="0062025E" w:rsidRDefault="0062025E" w:rsidP="007902A5">
      <w:pPr>
        <w:rPr>
          <w:b/>
          <w:i/>
          <w:iCs/>
          <w:color w:val="C00000"/>
          <w:sz w:val="24"/>
          <w:szCs w:val="24"/>
          <w:u w:val="single"/>
        </w:rPr>
      </w:pPr>
    </w:p>
    <w:p w14:paraId="76833505" w14:textId="66EA500E" w:rsidR="007902A5" w:rsidRPr="002554F5" w:rsidRDefault="007902A5" w:rsidP="007902A5">
      <w:pPr>
        <w:rPr>
          <w:b/>
          <w:i/>
          <w:iCs/>
          <w:color w:val="C00000"/>
          <w:sz w:val="24"/>
          <w:szCs w:val="24"/>
          <w:u w:val="single"/>
        </w:rPr>
      </w:pPr>
      <w:r w:rsidRPr="002554F5">
        <w:rPr>
          <w:b/>
          <w:i/>
          <w:iCs/>
          <w:color w:val="C00000"/>
          <w:sz w:val="24"/>
          <w:szCs w:val="24"/>
          <w:u w:val="single"/>
        </w:rPr>
        <w:t>Rehabilitation</w:t>
      </w:r>
    </w:p>
    <w:p w14:paraId="2295ED64" w14:textId="77777777" w:rsidR="007902A5" w:rsidRPr="00D57158" w:rsidRDefault="007902A5" w:rsidP="007902A5">
      <w:pPr>
        <w:rPr>
          <w:rFonts w:ascii="MyriadPro-Cond" w:eastAsia="MyriadPro-Cond" w:cs="MyriadPro-Cond"/>
          <w:u w:val="single"/>
        </w:rPr>
      </w:pPr>
      <w:r>
        <w:rPr>
          <w:b/>
          <w:u w:val="single"/>
        </w:rPr>
        <w:t>36</w:t>
      </w:r>
      <w:r w:rsidRPr="00D57158">
        <w:rPr>
          <w:b/>
          <w:u w:val="single"/>
        </w:rPr>
        <w:t xml:space="preserve">. </w:t>
      </w:r>
      <w:r w:rsidRPr="00D57158">
        <w:rPr>
          <w:u w:val="single"/>
        </w:rPr>
        <w:t xml:space="preserve">EC rehabilitation after complex injury. </w:t>
      </w:r>
    </w:p>
    <w:p w14:paraId="6CC0D072" w14:textId="77777777" w:rsidR="007902A5" w:rsidRDefault="007902A5" w:rsidP="007902A5">
      <w:r>
        <w:rPr>
          <w:b/>
        </w:rPr>
        <w:t>Rationale:</w:t>
      </w:r>
      <w:r>
        <w:t xml:space="preserve"> It is a tracer indicator. We can assume that if countries have any rehabilitation services, they will have rehabilitation for people with complex needs after injury. </w:t>
      </w:r>
    </w:p>
    <w:p w14:paraId="3C098B51" w14:textId="77777777" w:rsidR="007902A5" w:rsidRDefault="007902A5" w:rsidP="007902A5">
      <w:r>
        <w:rPr>
          <w:b/>
        </w:rPr>
        <w:t>Case definition:</w:t>
      </w:r>
      <w:r>
        <w:rPr>
          <w:b/>
          <w:bCs/>
        </w:rPr>
        <w:t xml:space="preserve"> </w:t>
      </w:r>
      <w:r>
        <w:t>Complex injury is understood as the needs that arise from having significant or multiple health conditions following an injury that impact on various domains of functioning. Multi-disciplinary rehabilitation is that which includes 3+ rehabilitation professions.</w:t>
      </w:r>
    </w:p>
    <w:p w14:paraId="55327D76" w14:textId="77777777" w:rsidR="007902A5" w:rsidRDefault="007902A5" w:rsidP="007902A5">
      <w:r>
        <w:rPr>
          <w:b/>
        </w:rPr>
        <w:t>Numerator:</w:t>
      </w:r>
      <w:r>
        <w:t xml:space="preserve"> </w:t>
      </w:r>
      <w:r w:rsidRPr="00D57158">
        <w:t>number of people with complex needs after injury who accessed multidisciplinary rehabilitation</w:t>
      </w:r>
      <w:r>
        <w:t>.</w:t>
      </w:r>
    </w:p>
    <w:p w14:paraId="0D040C4F" w14:textId="77777777" w:rsidR="007902A5" w:rsidRDefault="007902A5" w:rsidP="007902A5">
      <w:r>
        <w:rPr>
          <w:b/>
        </w:rPr>
        <w:t xml:space="preserve">Denominator: </w:t>
      </w:r>
      <w:r w:rsidRPr="00D57158">
        <w:t>total number of people with complex needs because of injury</w:t>
      </w:r>
      <w:r>
        <w:t xml:space="preserve">. </w:t>
      </w:r>
    </w:p>
    <w:p w14:paraId="6F58F083" w14:textId="77777777" w:rsidR="007902A5" w:rsidRDefault="007902A5" w:rsidP="007902A5">
      <w:r>
        <w:rPr>
          <w:b/>
        </w:rPr>
        <w:t>Disaggregation and additional dimension:</w:t>
      </w:r>
      <w:r>
        <w:t xml:space="preserve"> Could also be from catastrophic disease/illness, defined as illness resulting in hospital stay over 2 weeks that impacts on more than one body system. </w:t>
      </w:r>
    </w:p>
    <w:p w14:paraId="420FCC2C" w14:textId="77777777" w:rsidR="007902A5" w:rsidRDefault="007902A5" w:rsidP="007902A5">
      <w:pPr>
        <w:rPr>
          <w:rFonts w:ascii="MyriadPro-Cond" w:eastAsia="MyriadPro-Cond" w:cs="MyriadPro-Cond"/>
        </w:rPr>
      </w:pPr>
      <w:r>
        <w:rPr>
          <w:b/>
        </w:rPr>
        <w:t xml:space="preserve">Method of measurement: </w:t>
      </w:r>
      <w:r>
        <w:t>Health facility</w:t>
      </w:r>
    </w:p>
    <w:p w14:paraId="7318941D" w14:textId="77777777" w:rsidR="007902A5" w:rsidRDefault="007902A5" w:rsidP="007902A5">
      <w:pPr>
        <w:rPr>
          <w:rFonts w:ascii="MyriadPro-Cond" w:eastAsia="MyriadPro-Cond" w:cs="MyriadPro-Cond"/>
        </w:rPr>
      </w:pPr>
      <w:r>
        <w:rPr>
          <w:b/>
        </w:rPr>
        <w:t>Measurement frequency:</w:t>
      </w:r>
      <w:r>
        <w:t xml:space="preserve"> Annual.</w:t>
      </w:r>
    </w:p>
    <w:p w14:paraId="10F71E77" w14:textId="77777777" w:rsidR="007902A5" w:rsidRDefault="007902A5" w:rsidP="007902A5">
      <w:r>
        <w:rPr>
          <w:b/>
        </w:rPr>
        <w:t>Monitoring and evaluation framework:</w:t>
      </w:r>
      <w:r>
        <w:t xml:space="preserve"> Outcome</w:t>
      </w:r>
    </w:p>
    <w:p w14:paraId="73586D81" w14:textId="77777777" w:rsidR="007902A5" w:rsidRDefault="007902A5" w:rsidP="007902A5">
      <w:pPr>
        <w:rPr>
          <w:rFonts w:ascii="MyriadPro-Cond" w:eastAsia="MyriadPro-Cond" w:cs="MyriadPro-Cond"/>
        </w:rPr>
      </w:pPr>
      <w:r>
        <w:rPr>
          <w:b/>
        </w:rPr>
        <w:t>Preferred data sources:</w:t>
      </w:r>
      <w:r>
        <w:t xml:space="preserve"> Facility data. The underlying assumption is that everyone with complex needs after injury would have contact with a health care facility (probably tertiary level)</w:t>
      </w:r>
    </w:p>
    <w:p w14:paraId="226DE97F" w14:textId="77777777" w:rsidR="007902A5" w:rsidRPr="00610D00" w:rsidRDefault="007902A5" w:rsidP="007902A5">
      <w:r w:rsidRPr="008A4643">
        <w:rPr>
          <w:b/>
        </w:rPr>
        <w:t>Limitations:</w:t>
      </w:r>
      <w:r>
        <w:rPr>
          <w:b/>
        </w:rPr>
        <w:t xml:space="preserve"> </w:t>
      </w:r>
      <w:r>
        <w:t>Aspirational indicator. Data does not exist yet, but information needed will be part of DHIS and other facility and district data bases.</w:t>
      </w:r>
    </w:p>
    <w:p w14:paraId="6DA37BE2" w14:textId="77777777" w:rsidR="007902A5" w:rsidRDefault="007902A5" w:rsidP="007902A5">
      <w:pPr>
        <w:rPr>
          <w:b/>
          <w:i/>
          <w:iCs/>
          <w:color w:val="C00000"/>
          <w:sz w:val="24"/>
          <w:szCs w:val="24"/>
          <w:u w:val="single"/>
        </w:rPr>
      </w:pPr>
    </w:p>
    <w:p w14:paraId="33D489A2" w14:textId="77777777" w:rsidR="007902A5" w:rsidRDefault="007902A5" w:rsidP="007902A5">
      <w:pPr>
        <w:rPr>
          <w:b/>
          <w:i/>
          <w:iCs/>
          <w:color w:val="C00000"/>
          <w:sz w:val="24"/>
          <w:szCs w:val="24"/>
          <w:u w:val="single"/>
        </w:rPr>
      </w:pPr>
    </w:p>
    <w:p w14:paraId="7BB0E17E" w14:textId="77777777" w:rsidR="007902A5" w:rsidRDefault="007902A5" w:rsidP="007902A5">
      <w:pPr>
        <w:rPr>
          <w:b/>
          <w:i/>
          <w:iCs/>
          <w:color w:val="C00000"/>
          <w:sz w:val="24"/>
          <w:szCs w:val="24"/>
          <w:u w:val="single"/>
        </w:rPr>
      </w:pPr>
    </w:p>
    <w:p w14:paraId="4BC79037" w14:textId="77777777" w:rsidR="007902A5" w:rsidRDefault="007902A5" w:rsidP="007902A5">
      <w:pPr>
        <w:rPr>
          <w:b/>
          <w:i/>
          <w:iCs/>
          <w:color w:val="C00000"/>
          <w:sz w:val="24"/>
          <w:szCs w:val="24"/>
          <w:u w:val="single"/>
        </w:rPr>
      </w:pPr>
    </w:p>
    <w:p w14:paraId="41F4681F" w14:textId="77777777" w:rsidR="007902A5" w:rsidRDefault="007902A5" w:rsidP="007902A5">
      <w:pPr>
        <w:rPr>
          <w:b/>
          <w:i/>
          <w:iCs/>
          <w:color w:val="C00000"/>
          <w:sz w:val="24"/>
          <w:szCs w:val="24"/>
          <w:u w:val="single"/>
        </w:rPr>
      </w:pPr>
    </w:p>
    <w:p w14:paraId="584B3471" w14:textId="77777777" w:rsidR="007902A5" w:rsidRDefault="007902A5" w:rsidP="007902A5">
      <w:pPr>
        <w:rPr>
          <w:b/>
          <w:u w:val="single"/>
        </w:rPr>
      </w:pPr>
    </w:p>
    <w:p w14:paraId="5827C251" w14:textId="77777777" w:rsidR="007902A5" w:rsidRDefault="007902A5" w:rsidP="007902A5">
      <w:pPr>
        <w:rPr>
          <w:b/>
          <w:u w:val="single"/>
        </w:rPr>
      </w:pPr>
    </w:p>
    <w:p w14:paraId="08569384" w14:textId="77777777" w:rsidR="007902A5" w:rsidRDefault="007902A5" w:rsidP="007902A5">
      <w:pPr>
        <w:rPr>
          <w:b/>
          <w:u w:val="single"/>
        </w:rPr>
      </w:pPr>
    </w:p>
    <w:p w14:paraId="664AF324" w14:textId="5E47A31B" w:rsidR="007902A5" w:rsidRDefault="007902A5" w:rsidP="007902A5">
      <w:pPr>
        <w:rPr>
          <w:b/>
          <w:u w:val="single"/>
        </w:rPr>
      </w:pPr>
    </w:p>
    <w:p w14:paraId="645E8A56" w14:textId="77777777" w:rsidR="007902A5" w:rsidRPr="000D747A" w:rsidRDefault="007902A5" w:rsidP="007902A5">
      <w:pPr>
        <w:rPr>
          <w:highlight w:val="yellow"/>
          <w:u w:val="single"/>
        </w:rPr>
      </w:pPr>
      <w:r>
        <w:rPr>
          <w:b/>
          <w:u w:val="single"/>
        </w:rPr>
        <w:t>37</w:t>
      </w:r>
      <w:r w:rsidRPr="000D747A">
        <w:rPr>
          <w:b/>
          <w:u w:val="single"/>
        </w:rPr>
        <w:t xml:space="preserve">. </w:t>
      </w:r>
      <w:r w:rsidRPr="00D57158">
        <w:rPr>
          <w:u w:val="single"/>
        </w:rPr>
        <w:t>EC treatment for hip osteoarthritis</w:t>
      </w:r>
      <w:r w:rsidRPr="000D747A">
        <w:rPr>
          <w:u w:val="single"/>
        </w:rPr>
        <w:t xml:space="preserve">. </w:t>
      </w:r>
    </w:p>
    <w:p w14:paraId="19EDF26A" w14:textId="77777777" w:rsidR="007902A5" w:rsidRDefault="007902A5" w:rsidP="007902A5">
      <w:pPr>
        <w:rPr>
          <w:rFonts w:ascii="MyriadPro-Cond" w:eastAsia="MyriadPro-Cond" w:cs="MyriadPro-Cond"/>
        </w:rPr>
      </w:pPr>
      <w:r>
        <w:rPr>
          <w:b/>
        </w:rPr>
        <w:t>Domain of Global Reference List:</w:t>
      </w:r>
      <w:r>
        <w:t xml:space="preserve"> Coverage </w:t>
      </w:r>
    </w:p>
    <w:p w14:paraId="587998EF" w14:textId="77777777" w:rsidR="007902A5" w:rsidRDefault="007902A5" w:rsidP="007902A5">
      <w:pPr>
        <w:rPr>
          <w:rFonts w:ascii="MyriadPro-Cond" w:eastAsia="MyriadPro-Cond" w:cs="MyriadPro-Cond"/>
        </w:rPr>
      </w:pPr>
      <w:r>
        <w:rPr>
          <w:b/>
        </w:rPr>
        <w:t>Domain of Global Reference List:</w:t>
      </w:r>
      <w:r>
        <w:t xml:space="preserve"> Service Coverage </w:t>
      </w:r>
    </w:p>
    <w:p w14:paraId="4BECED27" w14:textId="77777777" w:rsidR="007902A5" w:rsidRDefault="007902A5" w:rsidP="007902A5">
      <w:pPr>
        <w:rPr>
          <w:b/>
        </w:rPr>
      </w:pPr>
      <w:r>
        <w:rPr>
          <w:b/>
        </w:rPr>
        <w:t>Rationale:</w:t>
      </w:r>
      <w:r>
        <w:t xml:space="preserve"> It is a tracer indicator. Hip fracture after falls are a global public health problem and leading cause of disability, hospitalization and death in older people. It is an important marker of availability of services for older adults, improvement of quality of live and wellbeing in older age</w:t>
      </w:r>
    </w:p>
    <w:p w14:paraId="5B52D353" w14:textId="77777777" w:rsidR="007902A5" w:rsidRDefault="007902A5" w:rsidP="007902A5">
      <w:r>
        <w:rPr>
          <w:b/>
        </w:rPr>
        <w:t>Numerator:</w:t>
      </w:r>
      <w:r>
        <w:t xml:space="preserve"> </w:t>
      </w:r>
      <w:r w:rsidRPr="00D57158">
        <w:t>number of people who have received a hip replacement</w:t>
      </w:r>
      <w:r w:rsidRPr="00D93F33">
        <w:t>.</w:t>
      </w:r>
    </w:p>
    <w:p w14:paraId="1381EF0C" w14:textId="77777777" w:rsidR="007902A5" w:rsidRDefault="007902A5" w:rsidP="007902A5">
      <w:r>
        <w:rPr>
          <w:b/>
        </w:rPr>
        <w:t xml:space="preserve">Denominator: </w:t>
      </w:r>
      <w:r w:rsidRPr="00D57158">
        <w:t>number of people with severe hip osteoarthritis + number of people with a hip replacement</w:t>
      </w:r>
      <w:r w:rsidRPr="00D93F33">
        <w:t>.</w:t>
      </w:r>
    </w:p>
    <w:p w14:paraId="7ABC554E" w14:textId="77777777" w:rsidR="007902A5" w:rsidRDefault="007902A5" w:rsidP="007902A5">
      <w:r>
        <w:rPr>
          <w:b/>
        </w:rPr>
        <w:t xml:space="preserve">Case Definition: </w:t>
      </w:r>
      <w:r w:rsidRPr="000D7A25">
        <w:t xml:space="preserve">A </w:t>
      </w:r>
      <w:r w:rsidRPr="000D7A25">
        <w:rPr>
          <w:b/>
          <w:bCs/>
        </w:rPr>
        <w:t>hip fracture</w:t>
      </w:r>
      <w:r w:rsidRPr="000D7A25">
        <w:t xml:space="preserve"> is a break in the top quarter of the thighbone, which is also called the femur. It can happen for lots of reasons and in many ways</w:t>
      </w:r>
      <w:r>
        <w:t xml:space="preserve"> but most frequently in older people it is caused by falls associated with frailty and other declines in functioning. </w:t>
      </w:r>
      <w:r w:rsidRPr="000D7A25">
        <w:t xml:space="preserve"> Some </w:t>
      </w:r>
      <w:r w:rsidRPr="000D7A25">
        <w:rPr>
          <w:bCs/>
        </w:rPr>
        <w:t>hip fractures</w:t>
      </w:r>
      <w:r w:rsidRPr="000D7A25">
        <w:t xml:space="preserve"> are more serious than others, but most are treated with surgery.</w:t>
      </w:r>
    </w:p>
    <w:p w14:paraId="26218926" w14:textId="77777777" w:rsidR="007902A5" w:rsidRDefault="007902A5" w:rsidP="007902A5">
      <w:pPr>
        <w:rPr>
          <w:rFonts w:ascii="MyriadPro-Cond" w:eastAsia="MyriadPro-Cond" w:cs="MyriadPro-Cond"/>
        </w:rPr>
      </w:pPr>
      <w:r>
        <w:rPr>
          <w:b/>
        </w:rPr>
        <w:t xml:space="preserve">Method of measurement: </w:t>
      </w:r>
      <w:r>
        <w:t>Health facility surveys</w:t>
      </w:r>
    </w:p>
    <w:p w14:paraId="6F973B5D" w14:textId="77777777" w:rsidR="007902A5" w:rsidRDefault="007902A5" w:rsidP="007902A5">
      <w:pPr>
        <w:rPr>
          <w:rFonts w:ascii="MyriadPro-Cond" w:eastAsia="MyriadPro-Cond" w:cs="MyriadPro-Cond"/>
        </w:rPr>
      </w:pPr>
      <w:r>
        <w:rPr>
          <w:b/>
        </w:rPr>
        <w:t>Measurement frequency:</w:t>
      </w:r>
      <w:r>
        <w:t xml:space="preserve"> Annual.</w:t>
      </w:r>
    </w:p>
    <w:p w14:paraId="17CD4058" w14:textId="77777777" w:rsidR="007902A5" w:rsidRDefault="007902A5" w:rsidP="007902A5">
      <w:r>
        <w:rPr>
          <w:b/>
        </w:rPr>
        <w:t>Monitoring and evaluation framework:</w:t>
      </w:r>
      <w:r>
        <w:t xml:space="preserve"> Outcome</w:t>
      </w:r>
      <w:bookmarkStart w:id="1" w:name="_GoBack"/>
      <w:bookmarkEnd w:id="1"/>
    </w:p>
    <w:p w14:paraId="382A36A0" w14:textId="77777777" w:rsidR="007902A5" w:rsidRDefault="007902A5" w:rsidP="007902A5">
      <w:pPr>
        <w:rPr>
          <w:rFonts w:ascii="MyriadPro-Cond" w:eastAsia="MyriadPro-Cond" w:cs="MyriadPro-Cond"/>
        </w:rPr>
      </w:pPr>
      <w:r>
        <w:rPr>
          <w:b/>
        </w:rPr>
        <w:t>Preferred data sources:</w:t>
      </w:r>
      <w:r>
        <w:t xml:space="preserve"> Facility data. The underlying assumption is that everyone with hip fracture after injury or due to chronic conditions would have contact with a health care facility (probably tertiary level)</w:t>
      </w:r>
    </w:p>
    <w:p w14:paraId="467E7CFA" w14:textId="7165D4F7" w:rsidR="007902A5" w:rsidRPr="00610D00" w:rsidRDefault="007902A5" w:rsidP="007902A5">
      <w:r w:rsidRPr="008A4643">
        <w:rPr>
          <w:b/>
        </w:rPr>
        <w:t>Limitations</w:t>
      </w:r>
      <w:r>
        <w:rPr>
          <w:b/>
        </w:rPr>
        <w:t xml:space="preserve">: </w:t>
      </w:r>
      <w:r>
        <w:t>Data exist, but information should be part of DHIS and need to be collected more systematically</w:t>
      </w:r>
      <w:r w:rsidR="00213688">
        <w:t xml:space="preserve"> and standardized.</w:t>
      </w:r>
    </w:p>
    <w:p w14:paraId="7D8D6F63" w14:textId="77777777" w:rsidR="007902A5" w:rsidRDefault="007902A5" w:rsidP="007902A5">
      <w:pPr>
        <w:rPr>
          <w:b/>
          <w:i/>
          <w:iCs/>
          <w:color w:val="C00000"/>
          <w:sz w:val="24"/>
          <w:szCs w:val="24"/>
          <w:u w:val="single"/>
        </w:rPr>
      </w:pPr>
    </w:p>
    <w:p w14:paraId="35F730BC" w14:textId="77777777" w:rsidR="007902A5" w:rsidRDefault="007902A5" w:rsidP="007902A5">
      <w:pPr>
        <w:rPr>
          <w:b/>
          <w:i/>
          <w:iCs/>
          <w:color w:val="C00000"/>
          <w:sz w:val="24"/>
          <w:szCs w:val="24"/>
          <w:u w:val="single"/>
        </w:rPr>
      </w:pPr>
    </w:p>
    <w:p w14:paraId="67157B3B" w14:textId="77777777" w:rsidR="007902A5" w:rsidRDefault="007902A5" w:rsidP="007902A5">
      <w:pPr>
        <w:rPr>
          <w:b/>
          <w:i/>
          <w:iCs/>
          <w:color w:val="C00000"/>
          <w:sz w:val="24"/>
          <w:szCs w:val="24"/>
          <w:u w:val="single"/>
        </w:rPr>
      </w:pPr>
    </w:p>
    <w:p w14:paraId="3E256598" w14:textId="77777777" w:rsidR="007902A5" w:rsidRDefault="007902A5" w:rsidP="007902A5">
      <w:pPr>
        <w:rPr>
          <w:b/>
          <w:i/>
          <w:iCs/>
          <w:color w:val="C00000"/>
          <w:sz w:val="24"/>
          <w:szCs w:val="24"/>
          <w:u w:val="single"/>
        </w:rPr>
      </w:pPr>
    </w:p>
    <w:p w14:paraId="3BB745EC" w14:textId="77777777" w:rsidR="007902A5" w:rsidRDefault="007902A5" w:rsidP="007902A5">
      <w:pPr>
        <w:rPr>
          <w:b/>
          <w:i/>
          <w:iCs/>
          <w:color w:val="C00000"/>
          <w:sz w:val="24"/>
          <w:szCs w:val="24"/>
          <w:u w:val="single"/>
        </w:rPr>
      </w:pPr>
    </w:p>
    <w:p w14:paraId="01023013" w14:textId="77777777" w:rsidR="007902A5" w:rsidRDefault="007902A5" w:rsidP="007902A5">
      <w:pPr>
        <w:rPr>
          <w:b/>
          <w:i/>
          <w:iCs/>
          <w:color w:val="C00000"/>
          <w:sz w:val="24"/>
          <w:szCs w:val="24"/>
          <w:u w:val="single"/>
        </w:rPr>
      </w:pPr>
    </w:p>
    <w:p w14:paraId="4BFB0B5D" w14:textId="77777777" w:rsidR="007902A5" w:rsidRDefault="007902A5" w:rsidP="007902A5">
      <w:pPr>
        <w:rPr>
          <w:b/>
          <w:i/>
          <w:iCs/>
          <w:color w:val="C00000"/>
          <w:sz w:val="24"/>
          <w:szCs w:val="24"/>
          <w:u w:val="single"/>
        </w:rPr>
      </w:pPr>
    </w:p>
    <w:p w14:paraId="0E2AABB4" w14:textId="6B0831A0" w:rsidR="007902A5" w:rsidRDefault="007902A5" w:rsidP="007902A5">
      <w:pPr>
        <w:rPr>
          <w:b/>
          <w:i/>
          <w:iCs/>
          <w:color w:val="C00000"/>
          <w:sz w:val="24"/>
          <w:szCs w:val="24"/>
          <w:u w:val="single"/>
        </w:rPr>
      </w:pPr>
    </w:p>
    <w:p w14:paraId="1609DEE7" w14:textId="77777777" w:rsidR="007902A5" w:rsidRPr="009A2800" w:rsidRDefault="007902A5" w:rsidP="007902A5">
      <w:pPr>
        <w:rPr>
          <w:highlight w:val="yellow"/>
          <w:u w:val="single"/>
        </w:rPr>
      </w:pPr>
      <w:r w:rsidRPr="009A2800">
        <w:rPr>
          <w:b/>
          <w:u w:val="single"/>
        </w:rPr>
        <w:t xml:space="preserve">38. </w:t>
      </w:r>
      <w:r w:rsidRPr="00D57158">
        <w:rPr>
          <w:u w:val="single"/>
        </w:rPr>
        <w:t>EC hearing loss rehabilitation of deaf or hard-of-hearing infants</w:t>
      </w:r>
      <w:r w:rsidRPr="009A2800">
        <w:rPr>
          <w:u w:val="single"/>
        </w:rPr>
        <w:t>.</w:t>
      </w:r>
    </w:p>
    <w:p w14:paraId="13B8F479" w14:textId="77777777" w:rsidR="007902A5" w:rsidRDefault="007902A5" w:rsidP="007902A5">
      <w:pPr>
        <w:rPr>
          <w:rFonts w:ascii="MyriadPro-Cond" w:eastAsia="MyriadPro-Cond" w:cs="MyriadPro-Cond"/>
        </w:rPr>
      </w:pPr>
      <w:r>
        <w:rPr>
          <w:b/>
        </w:rPr>
        <w:t>Domain of Global Reference List:</w:t>
      </w:r>
      <w:r>
        <w:t xml:space="preserve"> Service coverage </w:t>
      </w:r>
    </w:p>
    <w:p w14:paraId="39879468" w14:textId="77777777" w:rsidR="007902A5" w:rsidRDefault="007902A5" w:rsidP="007902A5">
      <w:r>
        <w:rPr>
          <w:b/>
        </w:rPr>
        <w:t>Rationale:</w:t>
      </w:r>
      <w:r>
        <w:t xml:space="preserve"> Early Hearing Detention and Intervention (EHDI) programmers are implemented in many countries targeting newborns and infants through hearing screening, followed by appropriate interventions for those identified with hearing loss. </w:t>
      </w:r>
    </w:p>
    <w:p w14:paraId="21553A71" w14:textId="77777777" w:rsidR="007902A5" w:rsidRDefault="007902A5" w:rsidP="007902A5">
      <w:r>
        <w:t>In deaf and hard of hearing children, early intervention is essential to development of speech, language, communication and cognition. It is key for education and integration into society. Rehabilitation for hearing loss should be initiated within the first year of life to be effective in bringing benefit to children born with hearing loss. Hence, the indicator proposes coverage up to 1 year of age.</w:t>
      </w:r>
    </w:p>
    <w:p w14:paraId="5DAFC0AA" w14:textId="77777777" w:rsidR="007902A5" w:rsidRPr="000756F8" w:rsidRDefault="007902A5" w:rsidP="007902A5">
      <w:r w:rsidRPr="000756F8">
        <w:rPr>
          <w:b/>
        </w:rPr>
        <w:t>Numerator:</w:t>
      </w:r>
      <w:r w:rsidRPr="000756F8">
        <w:t xml:space="preserve"> </w:t>
      </w:r>
      <w:r w:rsidRPr="00D57158">
        <w:t>number of infants (aged 0–1 year) receiving hearing loss rehabilitation</w:t>
      </w:r>
      <w:r w:rsidRPr="000756F8">
        <w:t>.</w:t>
      </w:r>
    </w:p>
    <w:p w14:paraId="3A7F1BC4" w14:textId="77777777" w:rsidR="007902A5" w:rsidRPr="000756F8" w:rsidRDefault="007902A5" w:rsidP="007902A5">
      <w:r w:rsidRPr="000756F8">
        <w:rPr>
          <w:b/>
        </w:rPr>
        <w:t xml:space="preserve">Denominator: </w:t>
      </w:r>
      <w:r w:rsidRPr="00D57158">
        <w:t>number of infants (aged 0–1 year) identified   as deaf or hard of hearing</w:t>
      </w:r>
      <w:r w:rsidRPr="000756F8">
        <w:t>.</w:t>
      </w:r>
    </w:p>
    <w:p w14:paraId="3958F828" w14:textId="77777777" w:rsidR="007902A5" w:rsidRPr="000756F8" w:rsidRDefault="007902A5" w:rsidP="007902A5">
      <w:r w:rsidRPr="000756F8">
        <w:rPr>
          <w:b/>
        </w:rPr>
        <w:t>Disaggregation and additional dimension:</w:t>
      </w:r>
      <w:r w:rsidRPr="000756F8">
        <w:t xml:space="preserve"> the data can be classified according to age of identification</w:t>
      </w:r>
    </w:p>
    <w:p w14:paraId="2534FB16" w14:textId="77777777" w:rsidR="007902A5" w:rsidRPr="000756F8" w:rsidRDefault="007902A5" w:rsidP="007902A5">
      <w:r w:rsidRPr="000756F8">
        <w:rPr>
          <w:b/>
        </w:rPr>
        <w:t xml:space="preserve">Method of measurement: </w:t>
      </w:r>
      <w:r w:rsidRPr="000756F8">
        <w:t xml:space="preserve">Data available through the responsible government departments. </w:t>
      </w:r>
    </w:p>
    <w:p w14:paraId="7C914BB0" w14:textId="77777777" w:rsidR="007902A5" w:rsidRDefault="007902A5" w:rsidP="007902A5">
      <w:r w:rsidRPr="000756F8">
        <w:rPr>
          <w:b/>
        </w:rPr>
        <w:t>Monitoring and evaluation framework:</w:t>
      </w:r>
      <w:r w:rsidRPr="000756F8">
        <w:t xml:space="preserve"> Outcome</w:t>
      </w:r>
    </w:p>
    <w:p w14:paraId="6D1190D3" w14:textId="77777777" w:rsidR="007902A5" w:rsidRDefault="007902A5" w:rsidP="007902A5">
      <w:pPr>
        <w:rPr>
          <w:rFonts w:ascii="MyriadPro-Cond" w:eastAsia="MyriadPro-Cond" w:cs="MyriadPro-Cond"/>
        </w:rPr>
      </w:pPr>
      <w:r>
        <w:rPr>
          <w:b/>
        </w:rPr>
        <w:t>Preferred data sources:</w:t>
      </w:r>
      <w:r>
        <w:t xml:space="preserve"> Registry of</w:t>
      </w:r>
      <w:r w:rsidRPr="00647FE8">
        <w:t xml:space="preserve"> the relevant government departments that implement the EHDI programme.</w:t>
      </w:r>
    </w:p>
    <w:p w14:paraId="55EDF273" w14:textId="77777777" w:rsidR="007902A5" w:rsidRDefault="007902A5" w:rsidP="007902A5">
      <w:pPr>
        <w:rPr>
          <w:b/>
          <w:i/>
          <w:iCs/>
          <w:color w:val="C00000"/>
          <w:sz w:val="24"/>
          <w:szCs w:val="24"/>
          <w:u w:val="single"/>
        </w:rPr>
      </w:pPr>
    </w:p>
    <w:p w14:paraId="247B131A" w14:textId="77777777" w:rsidR="007902A5" w:rsidRDefault="007902A5" w:rsidP="007902A5">
      <w:pPr>
        <w:rPr>
          <w:b/>
          <w:i/>
          <w:iCs/>
          <w:color w:val="C00000"/>
          <w:sz w:val="24"/>
          <w:szCs w:val="24"/>
          <w:u w:val="single"/>
        </w:rPr>
      </w:pPr>
    </w:p>
    <w:p w14:paraId="20988073" w14:textId="77777777" w:rsidR="007902A5" w:rsidRDefault="007902A5" w:rsidP="007902A5">
      <w:pPr>
        <w:rPr>
          <w:b/>
          <w:i/>
          <w:iCs/>
          <w:color w:val="C00000"/>
          <w:sz w:val="24"/>
          <w:szCs w:val="24"/>
          <w:u w:val="single"/>
        </w:rPr>
      </w:pPr>
    </w:p>
    <w:p w14:paraId="15847181" w14:textId="77777777" w:rsidR="007902A5" w:rsidRDefault="007902A5" w:rsidP="007902A5">
      <w:pPr>
        <w:rPr>
          <w:b/>
          <w:i/>
          <w:iCs/>
          <w:color w:val="C00000"/>
          <w:sz w:val="24"/>
          <w:szCs w:val="24"/>
          <w:u w:val="single"/>
        </w:rPr>
      </w:pPr>
    </w:p>
    <w:p w14:paraId="15031E69" w14:textId="77777777" w:rsidR="007902A5" w:rsidRDefault="007902A5" w:rsidP="007902A5">
      <w:pPr>
        <w:rPr>
          <w:b/>
          <w:i/>
          <w:iCs/>
          <w:color w:val="C00000"/>
          <w:sz w:val="24"/>
          <w:szCs w:val="24"/>
          <w:u w:val="single"/>
        </w:rPr>
      </w:pPr>
    </w:p>
    <w:p w14:paraId="33B24CA1" w14:textId="77777777" w:rsidR="007902A5" w:rsidRDefault="007902A5" w:rsidP="007902A5">
      <w:pPr>
        <w:rPr>
          <w:b/>
          <w:i/>
          <w:iCs/>
          <w:color w:val="C00000"/>
          <w:sz w:val="24"/>
          <w:szCs w:val="24"/>
          <w:u w:val="single"/>
        </w:rPr>
      </w:pPr>
    </w:p>
    <w:p w14:paraId="5A3295F4" w14:textId="77777777" w:rsidR="007902A5" w:rsidRDefault="007902A5" w:rsidP="007902A5">
      <w:pPr>
        <w:rPr>
          <w:b/>
          <w:i/>
          <w:iCs/>
          <w:color w:val="C00000"/>
          <w:sz w:val="24"/>
          <w:szCs w:val="24"/>
          <w:u w:val="single"/>
        </w:rPr>
      </w:pPr>
    </w:p>
    <w:p w14:paraId="61AF86D5" w14:textId="77777777" w:rsidR="007902A5" w:rsidRDefault="007902A5" w:rsidP="007902A5">
      <w:pPr>
        <w:rPr>
          <w:b/>
          <w:i/>
          <w:iCs/>
          <w:color w:val="C00000"/>
          <w:sz w:val="24"/>
          <w:szCs w:val="24"/>
          <w:u w:val="single"/>
        </w:rPr>
      </w:pPr>
    </w:p>
    <w:p w14:paraId="25D48760" w14:textId="77777777" w:rsidR="007902A5" w:rsidRDefault="007902A5" w:rsidP="007902A5">
      <w:pPr>
        <w:rPr>
          <w:b/>
          <w:i/>
          <w:iCs/>
          <w:color w:val="C00000"/>
          <w:sz w:val="24"/>
          <w:szCs w:val="24"/>
          <w:u w:val="single"/>
        </w:rPr>
      </w:pPr>
    </w:p>
    <w:p w14:paraId="655A3A3A" w14:textId="77777777" w:rsidR="007902A5" w:rsidRDefault="007902A5" w:rsidP="007902A5">
      <w:pPr>
        <w:rPr>
          <w:b/>
          <w:i/>
          <w:iCs/>
          <w:color w:val="C00000"/>
          <w:sz w:val="24"/>
          <w:szCs w:val="24"/>
          <w:u w:val="single"/>
        </w:rPr>
      </w:pPr>
    </w:p>
    <w:p w14:paraId="032C0DAF" w14:textId="5BB09000" w:rsidR="007902A5" w:rsidRDefault="007902A5" w:rsidP="007902A5">
      <w:pPr>
        <w:rPr>
          <w:b/>
          <w:i/>
          <w:iCs/>
          <w:color w:val="C00000"/>
          <w:sz w:val="24"/>
          <w:szCs w:val="24"/>
          <w:u w:val="single"/>
        </w:rPr>
      </w:pPr>
    </w:p>
    <w:p w14:paraId="4C15B243" w14:textId="77777777" w:rsidR="007902A5" w:rsidRPr="002554F5" w:rsidRDefault="007902A5" w:rsidP="007902A5">
      <w:pPr>
        <w:rPr>
          <w:b/>
          <w:i/>
          <w:iCs/>
          <w:color w:val="C00000"/>
          <w:sz w:val="24"/>
          <w:szCs w:val="24"/>
          <w:u w:val="single"/>
        </w:rPr>
      </w:pPr>
      <w:r>
        <w:rPr>
          <w:b/>
          <w:i/>
          <w:iCs/>
          <w:color w:val="C00000"/>
          <w:sz w:val="24"/>
          <w:szCs w:val="24"/>
          <w:u w:val="single"/>
        </w:rPr>
        <w:t>Palliation</w:t>
      </w:r>
    </w:p>
    <w:p w14:paraId="77649D50" w14:textId="77777777" w:rsidR="007902A5" w:rsidRPr="002554F5" w:rsidRDefault="007902A5" w:rsidP="007902A5">
      <w:pPr>
        <w:rPr>
          <w:u w:val="single"/>
        </w:rPr>
      </w:pPr>
      <w:r w:rsidRPr="002554F5">
        <w:rPr>
          <w:b/>
          <w:u w:val="single"/>
        </w:rPr>
        <w:t xml:space="preserve">39. </w:t>
      </w:r>
      <w:r w:rsidRPr="00557C4D">
        <w:rPr>
          <w:u w:val="single"/>
        </w:rPr>
        <w:t>EC palliation</w:t>
      </w:r>
      <w:r w:rsidRPr="002554F5">
        <w:rPr>
          <w:u w:val="single"/>
        </w:rPr>
        <w:t xml:space="preserve">. </w:t>
      </w:r>
    </w:p>
    <w:p w14:paraId="69F40942" w14:textId="77777777" w:rsidR="007902A5" w:rsidRDefault="007902A5" w:rsidP="007902A5">
      <w:pPr>
        <w:rPr>
          <w:rFonts w:ascii="MyriadPro-Cond" w:eastAsia="MyriadPro-Cond" w:cs="MyriadPro-Cond"/>
        </w:rPr>
      </w:pPr>
      <w:r>
        <w:rPr>
          <w:b/>
        </w:rPr>
        <w:t>Domain of Global Reference List:</w:t>
      </w:r>
      <w:r>
        <w:t xml:space="preserve"> Service coverage.</w:t>
      </w:r>
    </w:p>
    <w:p w14:paraId="52142B47" w14:textId="77777777" w:rsidR="007902A5" w:rsidRDefault="007902A5" w:rsidP="007902A5">
      <w:pPr>
        <w:rPr>
          <w:b/>
        </w:rPr>
      </w:pPr>
      <w:r>
        <w:rPr>
          <w:b/>
        </w:rPr>
        <w:t>Rationale:</w:t>
      </w:r>
      <w:r>
        <w:t xml:space="preserve"> It is a tracer indicator. Palliative care is vital to pain reduction and is a marker of access to health services across all ages and both sexes.</w:t>
      </w:r>
    </w:p>
    <w:p w14:paraId="6ACD17C2" w14:textId="77777777" w:rsidR="007902A5" w:rsidRDefault="007902A5" w:rsidP="007902A5">
      <w:r>
        <w:rPr>
          <w:b/>
        </w:rPr>
        <w:t>Numerator:</w:t>
      </w:r>
      <w:r>
        <w:t xml:space="preserve"> </w:t>
      </w:r>
      <w:r w:rsidRPr="00557C4D">
        <w:t>population-level consumption of morphine-equivalent strong opioid analgesics</w:t>
      </w:r>
      <w:r>
        <w:t>.</w:t>
      </w:r>
    </w:p>
    <w:p w14:paraId="59156CEE" w14:textId="77777777" w:rsidR="007902A5" w:rsidRPr="00D75793" w:rsidRDefault="007902A5" w:rsidP="007902A5">
      <w:r>
        <w:rPr>
          <w:b/>
        </w:rPr>
        <w:t xml:space="preserve">Denominator: </w:t>
      </w:r>
      <w:r w:rsidRPr="00557C4D">
        <w:t>total number of cancer deaths over same period</w:t>
      </w:r>
      <w:r>
        <w:t>.</w:t>
      </w:r>
    </w:p>
    <w:p w14:paraId="2600BF41" w14:textId="77777777" w:rsidR="007902A5" w:rsidRDefault="007902A5" w:rsidP="007902A5">
      <w:r>
        <w:rPr>
          <w:b/>
        </w:rPr>
        <w:t xml:space="preserve">Case definition: </w:t>
      </w:r>
      <w:r w:rsidRPr="00B52FE8">
        <w:t>Consumption of morphine-equivalent strong opioid analgesics (excluding me</w:t>
      </w:r>
      <w:r>
        <w:t>thadone) per death from cancer. Morphine-</w:t>
      </w:r>
      <w:r w:rsidRPr="00B52FE8">
        <w:t>equivalent is a method of standardizing and combining volumes of opioids with differing potencies and is used as a measure of opioid consumption, which is used as the indicator for access to pain and palliation.</w:t>
      </w:r>
    </w:p>
    <w:p w14:paraId="05B5DD75" w14:textId="77777777" w:rsidR="007902A5" w:rsidRPr="00B872EB" w:rsidRDefault="007902A5" w:rsidP="007902A5">
      <w:r>
        <w:rPr>
          <w:b/>
        </w:rPr>
        <w:t xml:space="preserve">Method of measurement: </w:t>
      </w:r>
      <w:r w:rsidRPr="00B52FE8">
        <w:t>Population-level consumption of morphine-equivalent strong opioid analgesics for a given time period. Levels of consumption of opioid medicines in kilograms or grams (for Fentanyl) are calculated by the INCB (International Narcotics Control Board) on the basis of statistics on manufacture and trade provided by Governments. Consumed quantities include those distributed by wholesalers or manufacturers to retailers (mainly pharmacies and hospitals) plus quantities imported directly by retailers. In countries where the retailers obtain their supply from abroad, quantities declared as imported are considered to be destined f</w:t>
      </w:r>
      <w:r>
        <w:t>or consumption.</w:t>
      </w:r>
      <w:r w:rsidRPr="00B52FE8">
        <w:t xml:space="preserve"> Therefore, the average reported consumption for the previous three-year period in many cases provides a more accurate estimate of actual consumption since volumes procured in one year may be consumed in the following year.</w:t>
      </w:r>
    </w:p>
    <w:p w14:paraId="2CFD97DD" w14:textId="77777777" w:rsidR="007902A5" w:rsidRDefault="007902A5" w:rsidP="007902A5">
      <w:pPr>
        <w:rPr>
          <w:rFonts w:ascii="MyriadPro-Cond" w:eastAsia="MyriadPro-Cond" w:cs="MyriadPro-Cond"/>
        </w:rPr>
      </w:pPr>
      <w:r>
        <w:rPr>
          <w:b/>
        </w:rPr>
        <w:t>Measurement frequency:</w:t>
      </w:r>
      <w:r>
        <w:t xml:space="preserve"> Annual.</w:t>
      </w:r>
    </w:p>
    <w:p w14:paraId="17B7C245" w14:textId="77777777" w:rsidR="007902A5" w:rsidRDefault="007902A5" w:rsidP="007902A5">
      <w:r>
        <w:rPr>
          <w:b/>
        </w:rPr>
        <w:t>Monitoring and evaluation framework:</w:t>
      </w:r>
      <w:r>
        <w:t xml:space="preserve"> Outcome.</w:t>
      </w:r>
    </w:p>
    <w:p w14:paraId="0702DD9B" w14:textId="0E53EB19" w:rsidR="007902A5" w:rsidRPr="00994FE1" w:rsidRDefault="007902A5" w:rsidP="007902A5">
      <w:pPr>
        <w:rPr>
          <w:rFonts w:ascii="MyriadPro-Cond" w:eastAsia="MyriadPro-Cond" w:cs="MyriadPro-Cond"/>
        </w:rPr>
      </w:pPr>
      <w:r>
        <w:rPr>
          <w:b/>
        </w:rPr>
        <w:t>Preferred data sources:</w:t>
      </w:r>
      <w:r>
        <w:t xml:space="preserve"> INCB data.</w:t>
      </w:r>
    </w:p>
    <w:p w14:paraId="6ADFC79B" w14:textId="701E40E9" w:rsidR="002A2174" w:rsidRPr="009B5732" w:rsidRDefault="002A2174" w:rsidP="009B5732">
      <w:pPr>
        <w:shd w:val="clear" w:color="auto" w:fill="FFFFFF"/>
        <w:spacing w:after="0"/>
        <w:ind w:left="360"/>
        <w:rPr>
          <w:rFonts w:eastAsia="Times New Roman" w:cs="Times New Roman"/>
          <w:color w:val="4A4A4A"/>
          <w:lang w:eastAsia="en-GB"/>
        </w:rPr>
      </w:pPr>
    </w:p>
    <w:sectPr w:rsidR="002A2174" w:rsidRPr="009B5732" w:rsidSect="00994FE1">
      <w:footerReference w:type="default" r:id="rId26"/>
      <w:footerReference w:type="first" r:id="rId27"/>
      <w:pgSz w:w="12240" w:h="15840"/>
      <w:pgMar w:top="1440" w:right="1440" w:bottom="1440" w:left="1440" w:header="720" w:footer="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843EF3" w14:textId="77777777" w:rsidR="007F6EAE" w:rsidRDefault="007F6EAE" w:rsidP="00887DE2">
      <w:pPr>
        <w:spacing w:after="0" w:line="240" w:lineRule="auto"/>
      </w:pPr>
      <w:r>
        <w:separator/>
      </w:r>
    </w:p>
  </w:endnote>
  <w:endnote w:type="continuationSeparator" w:id="0">
    <w:p w14:paraId="42C97CA8" w14:textId="77777777" w:rsidR="007F6EAE" w:rsidRDefault="007F6EAE" w:rsidP="00887DE2">
      <w:pPr>
        <w:spacing w:after="0" w:line="240" w:lineRule="auto"/>
      </w:pPr>
      <w:r>
        <w:continuationSeparator/>
      </w:r>
    </w:p>
  </w:endnote>
  <w:endnote w:type="continuationNotice" w:id="1">
    <w:p w14:paraId="53BD2E5F" w14:textId="77777777" w:rsidR="007F6EAE" w:rsidRDefault="007F6EA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TimesNewRomanPS-BoldMT">
    <w:altName w:val="Times New Roman"/>
    <w:panose1 w:val="00000000000000000000"/>
    <w:charset w:val="00"/>
    <w:family w:val="swiss"/>
    <w:notTrueType/>
    <w:pitch w:val="default"/>
    <w:sig w:usb0="00000003" w:usb1="00000000" w:usb2="00000000" w:usb3="00000000" w:csb0="00000001" w:csb1="00000000"/>
  </w:font>
  <w:font w:name="MyriadPro-Cond">
    <w:altName w:val="Calibri"/>
    <w:panose1 w:val="00000000000000000000"/>
    <w:charset w:val="00"/>
    <w:family w:val="swiss"/>
    <w:notTrueType/>
    <w:pitch w:val="default"/>
    <w:sig w:usb0="00000003" w:usb1="00000000" w:usb2="00000000" w:usb3="00000000" w:csb0="00000001" w:csb1="00000000"/>
  </w:font>
  <w:font w:name="Calibri-Light">
    <w:altName w:val="Calibri"/>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05168627"/>
      <w:docPartObj>
        <w:docPartGallery w:val="Page Numbers (Bottom of Page)"/>
        <w:docPartUnique/>
      </w:docPartObj>
    </w:sdtPr>
    <w:sdtEndPr>
      <w:rPr>
        <w:rFonts w:ascii="Calibri" w:hAnsi="Calibri" w:cs="Calibri"/>
        <w:noProof/>
      </w:rPr>
    </w:sdtEndPr>
    <w:sdtContent>
      <w:p w14:paraId="0D2C035C" w14:textId="5338C98B" w:rsidR="007F6EAE" w:rsidRPr="00A242E3" w:rsidRDefault="007F6EAE">
        <w:pPr>
          <w:pStyle w:val="Footer"/>
          <w:jc w:val="right"/>
          <w:rPr>
            <w:rFonts w:ascii="Calibri" w:hAnsi="Calibri" w:cs="Calibri"/>
          </w:rPr>
        </w:pPr>
        <w:r w:rsidRPr="00A242E3">
          <w:rPr>
            <w:rFonts w:ascii="Calibri" w:hAnsi="Calibri" w:cs="Calibri"/>
          </w:rPr>
          <w:fldChar w:fldCharType="begin"/>
        </w:r>
        <w:r w:rsidRPr="00A242E3">
          <w:rPr>
            <w:rFonts w:ascii="Calibri" w:hAnsi="Calibri" w:cs="Calibri"/>
          </w:rPr>
          <w:instrText xml:space="preserve"> PAGE   \* MERGEFORMAT </w:instrText>
        </w:r>
        <w:r w:rsidRPr="00A242E3">
          <w:rPr>
            <w:rFonts w:ascii="Calibri" w:hAnsi="Calibri" w:cs="Calibri"/>
          </w:rPr>
          <w:fldChar w:fldCharType="separate"/>
        </w:r>
        <w:r>
          <w:rPr>
            <w:rFonts w:ascii="Calibri" w:hAnsi="Calibri" w:cs="Calibri"/>
            <w:noProof/>
          </w:rPr>
          <w:t>1</w:t>
        </w:r>
        <w:r w:rsidRPr="00A242E3">
          <w:rPr>
            <w:rFonts w:ascii="Calibri" w:hAnsi="Calibri" w:cs="Calibri"/>
            <w:noProof/>
          </w:rPr>
          <w:fldChar w:fldCharType="end"/>
        </w:r>
      </w:p>
    </w:sdtContent>
  </w:sdt>
  <w:p w14:paraId="6C8998B1" w14:textId="77777777" w:rsidR="007F6EAE" w:rsidRDefault="007F6EA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FC41CD" w14:textId="77777777" w:rsidR="007F6EAE" w:rsidRPr="00F67279" w:rsidRDefault="007F6EAE" w:rsidP="00994FE1">
    <w:pPr>
      <w:pStyle w:val="Footer"/>
      <w:rPr>
        <w:b/>
        <w:i/>
        <w:color w:val="244061" w:themeColor="accent1" w:themeShade="80"/>
        <w:sz w:val="20"/>
      </w:rPr>
    </w:pPr>
    <w:r w:rsidRPr="00F67279">
      <w:rPr>
        <w:b/>
        <w:i/>
        <w:color w:val="244061" w:themeColor="accent1" w:themeShade="80"/>
        <w:sz w:val="20"/>
      </w:rPr>
      <w:t>_____________________________________________________________________________________________</w:t>
    </w:r>
  </w:p>
  <w:p w14:paraId="4F751BAE" w14:textId="77777777" w:rsidR="007F6EAE" w:rsidRDefault="007F6EAE" w:rsidP="00994FE1">
    <w:pPr>
      <w:pStyle w:val="Footer"/>
      <w:rPr>
        <w:b/>
        <w:i/>
        <w:color w:val="244061" w:themeColor="accent1" w:themeShade="80"/>
        <w:sz w:val="20"/>
      </w:rPr>
    </w:pPr>
  </w:p>
  <w:p w14:paraId="5AB3C39E" w14:textId="77777777" w:rsidR="007F6EAE" w:rsidRDefault="007F6EAE" w:rsidP="00994FE1">
    <w:pPr>
      <w:pStyle w:val="Footer"/>
    </w:pPr>
  </w:p>
  <w:p w14:paraId="3D646355" w14:textId="77777777" w:rsidR="007F6EAE" w:rsidRDefault="007F6EAE" w:rsidP="00994FE1">
    <w:pPr>
      <w:pStyle w:val="Footer"/>
    </w:pPr>
  </w:p>
  <w:p w14:paraId="4F43930A" w14:textId="77777777" w:rsidR="007F6EAE" w:rsidRDefault="007F6EAE">
    <w:pPr>
      <w:pStyle w:val="Footer"/>
    </w:pPr>
    <w:r w:rsidRPr="00F67279">
      <w:rPr>
        <w:b/>
        <w:i/>
        <w:noProof/>
        <w:color w:val="244061" w:themeColor="accent1" w:themeShade="80"/>
        <w:sz w:val="20"/>
        <w:lang w:val="en-US"/>
      </w:rPr>
      <mc:AlternateContent>
        <mc:Choice Requires="wps">
          <w:drawing>
            <wp:anchor distT="0" distB="0" distL="114300" distR="114300" simplePos="0" relativeHeight="251660288" behindDoc="0" locked="0" layoutInCell="1" allowOverlap="1" wp14:anchorId="2FEAC12F" wp14:editId="5C020369">
              <wp:simplePos x="0" y="0"/>
              <wp:positionH relativeFrom="margin">
                <wp:posOffset>-933450</wp:posOffset>
              </wp:positionH>
              <wp:positionV relativeFrom="paragraph">
                <wp:posOffset>236220</wp:posOffset>
              </wp:positionV>
              <wp:extent cx="6848475" cy="95250"/>
              <wp:effectExtent l="0" t="0" r="9525" b="0"/>
              <wp:wrapNone/>
              <wp:docPr id="5" name="Rectangle 5"/>
              <wp:cNvGraphicFramePr/>
              <a:graphic xmlns:a="http://schemas.openxmlformats.org/drawingml/2006/main">
                <a:graphicData uri="http://schemas.microsoft.com/office/word/2010/wordprocessingShape">
                  <wps:wsp>
                    <wps:cNvSpPr/>
                    <wps:spPr>
                      <a:xfrm>
                        <a:off x="0" y="0"/>
                        <a:ext cx="6848475" cy="95250"/>
                      </a:xfrm>
                      <a:prstGeom prst="rect">
                        <a:avLst/>
                      </a:prstGeom>
                      <a:solidFill>
                        <a:schemeClr val="accent1">
                          <a:lumMod val="60000"/>
                          <a:lumOff val="4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65F37B5" id="Rectangle 5" o:spid="_x0000_s1026" style="position:absolute;margin-left:-73.5pt;margin-top:18.6pt;width:539.25pt;height:7.5pt;z-index:25166028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UWk0oQIAAMIFAAAOAAAAZHJzL2Uyb0RvYy54bWysVN1vGyEMf5+0/wHxvl4SJf2IeqmiVp0m&#10;dW3Vduoz5SCHBJgBySX762fgcu36sYdpeSDY2D/bv7N9erY1mmyEDwpsTccHI0qE5dAou6rpj4fL&#10;L8eUhMhswzRYUdOdCPRs8fnTaefmYgIt6EZ4giA2zDtX0zZGN6+qwFthWDgAJyw+SvCGRRT9qmo8&#10;6xDd6GoyGh1WHfjGeeAiBNRelEe6yPhSCh5vpAwiEl1TzC3m0+fzKZ3V4pTNV565VvE+DfYPWRim&#10;LAYdoC5YZGTt1Rsoo7iHADIecDAVSKm4yDVgNePRq2ruW+ZErgXJCW6gKfw/WH69ufVENTWdUWKZ&#10;wU90h6Qxu9KCzBI9nQtztLp3t76XAl5TrVvpTfrHKsg2U7obKBXbSDgqD4+nx9MjxOb4djKbzDLl&#10;1bOz8yF+FWBIutTUY/BMJNtchYgB0XRvkmIF0Kq5VFpnIXWJONeebBh+X8a5sHGc3fXafIem6A9H&#10;+CtfGtXYD0U93asxRO63hJQD/hFE2xTKQgpa8kmaKtFSiMi3uNMi2Wl7JyTyiaVPciID8tscQ8sa&#10;UdSzD3PJgAlZYvwBuxT5AXbJsrdPriIPwuA8+ltixXnwyJHBxsHZKAv+PQCNzPeRi/2epEJNYukJ&#10;mh12m4cyhsHxS4Vf/YqFeMs8zh1OKO6SeIOH1NDVFPobJS34X+/pkz2OA75S0uEc1zT8XDMvKNHf&#10;LA7KyXg6TYOfhensaIKCf/ny9PLFrs05YCuNcWs5nq/JPur9VXowj7hylikqPjHLMXZNefR74TyW&#10;/YJLi4vlMpvhsDsWr+y94wk8sZq6+mH7yLzrWz/izFzDfubZ/NUEFNvkaWG5jiBVHo9nXnu+cVHk&#10;Ju6XWtpEL+Vs9bx6F78BAAD//wMAUEsDBBQABgAIAAAAIQBew8163wAAAAoBAAAPAAAAZHJzL2Rv&#10;d25yZXYueG1sTI/BTsMwEETvSPyDtUjcWidpSyFkU1UgKDdE4APcZBsH4nUUu6n795hTOY5mNPOm&#10;2ATTi4lG11lGSOcJCOLaNh23CF+fL7N7EM4rblRvmRDO5GBTXl8VKm/siT9oqnwrYgm7XCFo74dc&#10;SldrMsrN7UAcvYMdjfJRjq1sRnWK5aaXWZLcSaM6jgtaDfSkqf6pjgbhNdjw/P49eR2WlqvzTm7p&#10;7YB4exO2jyA8BX8Jwx9+RIcyMu3tkRsneoRZulzHMx5hsc5AxMTDIl2B2COssgxkWcj/F8pfAAAA&#10;//8DAFBLAQItABQABgAIAAAAIQC2gziS/gAAAOEBAAATAAAAAAAAAAAAAAAAAAAAAABbQ29udGVu&#10;dF9UeXBlc10ueG1sUEsBAi0AFAAGAAgAAAAhADj9If/WAAAAlAEAAAsAAAAAAAAAAAAAAAAALwEA&#10;AF9yZWxzLy5yZWxzUEsBAi0AFAAGAAgAAAAhAHJRaTShAgAAwgUAAA4AAAAAAAAAAAAAAAAALgIA&#10;AGRycy9lMm9Eb2MueG1sUEsBAi0AFAAGAAgAAAAhAF7DzXrfAAAACgEAAA8AAAAAAAAAAAAAAAAA&#10;+wQAAGRycy9kb3ducmV2LnhtbFBLBQYAAAAABAAEAPMAAAAHBgAAAAA=&#10;" fillcolor="#95b3d7 [1940]" stroked="f" strokeweight="2pt">
              <w10:wrap anchorx="margin"/>
            </v:rect>
          </w:pict>
        </mc:Fallback>
      </mc:AlternateContent>
    </w:r>
  </w:p>
  <w:p w14:paraId="6E6CB455" w14:textId="77777777" w:rsidR="007F6EAE" w:rsidRDefault="007F6EAE">
    <w:pPr>
      <w:pStyle w:val="Footer"/>
    </w:pPr>
    <w:r w:rsidRPr="00F67279">
      <w:rPr>
        <w:b/>
        <w:i/>
        <w:noProof/>
        <w:color w:val="244061" w:themeColor="accent1" w:themeShade="80"/>
        <w:sz w:val="20"/>
        <w:lang w:val="en-US"/>
      </w:rPr>
      <mc:AlternateContent>
        <mc:Choice Requires="wps">
          <w:drawing>
            <wp:anchor distT="0" distB="0" distL="114300" distR="114300" simplePos="0" relativeHeight="251659264" behindDoc="0" locked="0" layoutInCell="1" allowOverlap="1" wp14:anchorId="5449BD18" wp14:editId="2BE8156A">
              <wp:simplePos x="0" y="0"/>
              <wp:positionH relativeFrom="margin">
                <wp:posOffset>876300</wp:posOffset>
              </wp:positionH>
              <wp:positionV relativeFrom="paragraph">
                <wp:posOffset>69850</wp:posOffset>
              </wp:positionV>
              <wp:extent cx="6087110" cy="95250"/>
              <wp:effectExtent l="0" t="0" r="8890" b="0"/>
              <wp:wrapNone/>
              <wp:docPr id="7" name="Rectangle 7"/>
              <wp:cNvGraphicFramePr/>
              <a:graphic xmlns:a="http://schemas.openxmlformats.org/drawingml/2006/main">
                <a:graphicData uri="http://schemas.microsoft.com/office/word/2010/wordprocessingShape">
                  <wps:wsp>
                    <wps:cNvSpPr/>
                    <wps:spPr>
                      <a:xfrm>
                        <a:off x="0" y="0"/>
                        <a:ext cx="6087110" cy="95250"/>
                      </a:xfrm>
                      <a:prstGeom prst="rect">
                        <a:avLst/>
                      </a:prstGeom>
                      <a:solidFill>
                        <a:schemeClr val="accent1">
                          <a:lumMod val="7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D7B43A3" id="Rectangle 7" o:spid="_x0000_s1026" style="position:absolute;margin-left:69pt;margin-top:5.5pt;width:479.3pt;height:7.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FiDqlwIAAKsFAAAOAAAAZHJzL2Uyb0RvYy54bWysVE1v2zAMvQ/YfxB0X20HTdMGdYqgRYcB&#10;XVu0HXpWZSk2IImapMTJfv0oyXE/t8OwiyyK5CP5TPL0bKsV2QjnOzA1rQ5KSoTh0HRmVdMfD5df&#10;jinxgZmGKTCipjvh6dni86fT3s7FBFpQjXAEQYyf97ambQh2XhSet0IzfwBWGFRKcJoFFN2qaBzr&#10;EV2rYlKWR0UPrrEOuPAeXy+yki4SvpSChxspvQhE1RRzC+l06XyKZ7E4ZfOVY7bt+JAG+4csNOsM&#10;Bh2hLlhgZO26d1C64w48yHDAQRcgZcdFqgGrqco31dy3zIpUC5Lj7UiT/3+w/Hpz60jX1HRGiWEa&#10;f9EdksbMSgkyi/T01s/R6t7eukHyeI21bqXT8YtVkG2idDdSKraBcHw8Ko9nVYXMc9SdTCfTRHnx&#10;7GydD18FaBIvNXUYPBHJNlc+YEA03ZvEWB5U11x2SiUhdok4V45sGP5fxrkwoUruaq2/Q5PfZ9Oy&#10;3IdNjRVdEvIrNGUipoGIngPHlyLWnytOt7BTItopcyckEoc1TlLEEfl9Mr5ljcjPMZWPc0mAEVli&#10;/BE7V/MH7JzlYB9dRer40bn8W2LZefRIkcGE0Vl3BtxHAAopHiJn+z1JmZrI0hM0O2wrB3nevOWX&#10;Hf7eK+bDLXM4YNgQuDTCDR5SQV9TGG6UtOB+ffQe7bHvUUtJjwNbU/9zzZygRH0zOBEn1eFhnPAk&#10;HE5nExTcS83TS41Z63PAnqlwPVmertE+qP1VOtCPuFuWMSqqmOEYu6Y8uL1wHvIiwe3ExXKZzHCq&#10;LQtX5t7yCB5Zje37sH1kzg49HnA4rmE/3Gz+ptWzbfQ0sFwHkF2ag2deB75xI6QmHrZXXDkv5WT1&#10;vGMXvwEAAP//AwBQSwMEFAAGAAgAAAAhABSLBdThAAAACgEAAA8AAABkcnMvZG93bnJldi54bWxM&#10;j8FOwzAQRO9I/IO1SFyq1m5BUQlxKorUCxISDZRenXhJosZ2ZLtJ4OvZnuC0O9rR7JtsM5mODehD&#10;66yE5UIAQ1s53dpawsf7br4GFqKyWnXOooRvDLDJr68ylWo32j0ORawZhdiQKglNjH3KeagaNCos&#10;XI+Wbl/OGxVJ+pprr0YKNx1fCZFwo1pLHxrV43OD1ak4Gwlvwzjttq/Fyb/cl7Pt5xGPh5+ZlLc3&#10;09MjsIhT/DPDBZ/QISem0p2tDqwjfbemLpGWJc2LQTwkCbBSwioRwPOM/6+Q/wIAAP//AwBQSwEC&#10;LQAUAAYACAAAACEAtoM4kv4AAADhAQAAEwAAAAAAAAAAAAAAAAAAAAAAW0NvbnRlbnRfVHlwZXNd&#10;LnhtbFBLAQItABQABgAIAAAAIQA4/SH/1gAAAJQBAAALAAAAAAAAAAAAAAAAAC8BAABfcmVscy8u&#10;cmVsc1BLAQItABQABgAIAAAAIQCKFiDqlwIAAKsFAAAOAAAAAAAAAAAAAAAAAC4CAABkcnMvZTJv&#10;RG9jLnhtbFBLAQItABQABgAIAAAAIQAUiwXU4QAAAAoBAAAPAAAAAAAAAAAAAAAAAPEEAABkcnMv&#10;ZG93bnJldi54bWxQSwUGAAAAAAQABADzAAAA/wUAAAAA&#10;" fillcolor="#365f91 [2404]" stroked="f" strokeweight="2pt">
              <w10:wrap anchorx="margin"/>
            </v:rect>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08FE98" w14:textId="77777777" w:rsidR="007F6EAE" w:rsidRPr="00F67279" w:rsidRDefault="007F6EAE" w:rsidP="00994FE1">
    <w:pPr>
      <w:pStyle w:val="Footer"/>
      <w:rPr>
        <w:b/>
        <w:i/>
        <w:color w:val="244061" w:themeColor="accent1" w:themeShade="80"/>
        <w:sz w:val="20"/>
      </w:rPr>
    </w:pPr>
    <w:r w:rsidRPr="00F67279">
      <w:rPr>
        <w:b/>
        <w:i/>
        <w:color w:val="244061" w:themeColor="accent1" w:themeShade="80"/>
        <w:sz w:val="20"/>
      </w:rPr>
      <w:t>__________________________________________________________________________________________</w:t>
    </w:r>
  </w:p>
  <w:p w14:paraId="2E1BC51E" w14:textId="77777777" w:rsidR="007F6EAE" w:rsidRDefault="007F6EA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BBFBDA" w14:textId="77777777" w:rsidR="007F6EAE" w:rsidRDefault="007F6EAE" w:rsidP="00887DE2">
      <w:pPr>
        <w:spacing w:after="0" w:line="240" w:lineRule="auto"/>
      </w:pPr>
      <w:r>
        <w:separator/>
      </w:r>
    </w:p>
  </w:footnote>
  <w:footnote w:type="continuationSeparator" w:id="0">
    <w:p w14:paraId="1E26EC10" w14:textId="77777777" w:rsidR="007F6EAE" w:rsidRDefault="007F6EAE" w:rsidP="00887DE2">
      <w:pPr>
        <w:spacing w:after="0" w:line="240" w:lineRule="auto"/>
      </w:pPr>
      <w:r>
        <w:continuationSeparator/>
      </w:r>
    </w:p>
  </w:footnote>
  <w:footnote w:type="continuationNotice" w:id="1">
    <w:p w14:paraId="29B0AE15" w14:textId="77777777" w:rsidR="007F6EAE" w:rsidRDefault="007F6EAE">
      <w:pPr>
        <w:spacing w:after="0" w:line="240" w:lineRule="auto"/>
      </w:pPr>
    </w:p>
  </w:footnote>
  <w:footnote w:id="2">
    <w:p w14:paraId="72149BE2" w14:textId="77777777" w:rsidR="007F6EAE" w:rsidRDefault="007F6EAE" w:rsidP="00621609">
      <w:pPr>
        <w:pStyle w:val="FootnoteText"/>
      </w:pPr>
      <w:r>
        <w:rPr>
          <w:rStyle w:val="FootnoteReference"/>
        </w:rPr>
        <w:footnoteRef/>
      </w:r>
      <w:r>
        <w:t xml:space="preserve"> Policy, advocacy and regulation that leads to multi-sectoral action for health or policies to promote positive social determinants of health are not included in the service coverage index.    </w:t>
      </w:r>
    </w:p>
  </w:footnote>
  <w:footnote w:id="3">
    <w:p w14:paraId="0280452D" w14:textId="77777777" w:rsidR="007F6EAE" w:rsidRDefault="007F6EAE" w:rsidP="001166FA">
      <w:pPr>
        <w:pStyle w:val="FootnoteText"/>
      </w:pPr>
      <w:r>
        <w:rPr>
          <w:rStyle w:val="FootnoteReference"/>
        </w:rPr>
        <w:footnoteRef/>
      </w:r>
      <w:r>
        <w:t xml:space="preserve"> </w:t>
      </w:r>
      <w:hyperlink r:id="rId1" w:history="1">
        <w:r w:rsidRPr="00246A93">
          <w:rPr>
            <w:rStyle w:val="Hyperlink"/>
          </w:rPr>
          <w:t>https://unstats.un.org/unsd/dnss/gp/FP-New-E.pdf</w:t>
        </w:r>
      </w:hyperlink>
      <w:r>
        <w:t xml:space="preserve"> </w:t>
      </w:r>
    </w:p>
  </w:footnote>
  <w:footnote w:id="4">
    <w:p w14:paraId="0DEA787D" w14:textId="77777777" w:rsidR="007F6EAE" w:rsidRDefault="007F6EAE" w:rsidP="001166FA">
      <w:pPr>
        <w:pStyle w:val="FootnoteText"/>
      </w:pPr>
      <w:r>
        <w:rPr>
          <w:rStyle w:val="FootnoteReference"/>
        </w:rPr>
        <w:footnoteRef/>
      </w:r>
      <w:r>
        <w:t xml:space="preserve"> </w:t>
      </w:r>
      <w:hyperlink r:id="rId2" w:history="1">
        <w:r w:rsidRPr="00246A93">
          <w:rPr>
            <w:rStyle w:val="Hyperlink"/>
          </w:rPr>
          <w:t>http://gather-statement.org/</w:t>
        </w:r>
      </w:hyperlink>
      <w:r>
        <w:t xml:space="preserve"> </w:t>
      </w:r>
    </w:p>
  </w:footnote>
  <w:footnote w:id="5">
    <w:p w14:paraId="3C18111D" w14:textId="15E61767" w:rsidR="007F6EAE" w:rsidRPr="00207343" w:rsidRDefault="007F6EAE">
      <w:pPr>
        <w:pStyle w:val="FootnoteText"/>
        <w:rPr>
          <w:lang w:val="en-US"/>
        </w:rPr>
      </w:pPr>
      <w:r>
        <w:rPr>
          <w:rStyle w:val="FootnoteReference"/>
        </w:rPr>
        <w:footnoteRef/>
      </w:r>
      <w:r>
        <w:t xml:space="preserve"> </w:t>
      </w:r>
      <w:r>
        <w:rPr>
          <w:rFonts w:eastAsia="Times New Roman" w:cs="Times New Roman"/>
          <w:sz w:val="18"/>
          <w:szCs w:val="18"/>
          <w:lang w:eastAsia="en-GB"/>
        </w:rPr>
        <w:t>D</w:t>
      </w:r>
      <w:r w:rsidRPr="00207343">
        <w:rPr>
          <w:rFonts w:eastAsia="Times New Roman" w:cs="Times New Roman"/>
          <w:sz w:val="18"/>
          <w:szCs w:val="18"/>
          <w:lang w:eastAsia="en-GB"/>
        </w:rPr>
        <w:t xml:space="preserve">ue to time lag for availability of data sources for various indicators for the UHC index, WHO and the health community globally considers 2010 as the baseline for global SDG monitoring, hence the table below shows data availability </w:t>
      </w:r>
      <w:r>
        <w:rPr>
          <w:rFonts w:eastAsia="Times New Roman" w:cs="Times New Roman"/>
          <w:sz w:val="18"/>
          <w:szCs w:val="18"/>
          <w:lang w:eastAsia="en-GB"/>
        </w:rPr>
        <w:t>for 2010 onwards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F5D698CE"/>
    <w:lvl w:ilvl="0">
      <w:start w:val="1"/>
      <w:numFmt w:val="decimal"/>
      <w:pStyle w:val="ListNumber"/>
      <w:lvlText w:val="%1."/>
      <w:lvlJc w:val="left"/>
      <w:pPr>
        <w:tabs>
          <w:tab w:val="num" w:pos="360"/>
        </w:tabs>
        <w:ind w:left="360" w:hanging="360"/>
      </w:pPr>
    </w:lvl>
  </w:abstractNum>
  <w:abstractNum w:abstractNumId="1" w15:restartNumberingAfterBreak="0">
    <w:nsid w:val="0292537C"/>
    <w:multiLevelType w:val="hybridMultilevel"/>
    <w:tmpl w:val="1F3223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5A12175"/>
    <w:multiLevelType w:val="hybridMultilevel"/>
    <w:tmpl w:val="2F2ADEA8"/>
    <w:lvl w:ilvl="0" w:tplc="0409000F">
      <w:start w:val="1"/>
      <w:numFmt w:val="decimal"/>
      <w:lvlText w:val="%1."/>
      <w:lvlJc w:val="left"/>
      <w:pPr>
        <w:ind w:left="1353" w:hanging="360"/>
      </w:p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3" w15:restartNumberingAfterBreak="0">
    <w:nsid w:val="05DE3C76"/>
    <w:multiLevelType w:val="hybridMultilevel"/>
    <w:tmpl w:val="729891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9066CCA"/>
    <w:multiLevelType w:val="hybridMultilevel"/>
    <w:tmpl w:val="DF2EA3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A737E2F"/>
    <w:multiLevelType w:val="hybridMultilevel"/>
    <w:tmpl w:val="0F0EF396"/>
    <w:lvl w:ilvl="0" w:tplc="5944DC32">
      <w:start w:val="1"/>
      <w:numFmt w:val="bullet"/>
      <w:lvlText w:val="-"/>
      <w:lvlJc w:val="left"/>
      <w:pPr>
        <w:ind w:left="405" w:hanging="360"/>
      </w:pPr>
      <w:rPr>
        <w:rFonts w:ascii="Calibri" w:eastAsiaTheme="minorHAnsi" w:hAnsi="Calibri" w:cs="Calibri"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6" w15:restartNumberingAfterBreak="0">
    <w:nsid w:val="0BC069B0"/>
    <w:multiLevelType w:val="hybridMultilevel"/>
    <w:tmpl w:val="BB8EAD0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D56BB9"/>
    <w:multiLevelType w:val="hybridMultilevel"/>
    <w:tmpl w:val="B8B45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2E4028"/>
    <w:multiLevelType w:val="hybridMultilevel"/>
    <w:tmpl w:val="9A5C586A"/>
    <w:lvl w:ilvl="0" w:tplc="0409000F">
      <w:start w:val="1"/>
      <w:numFmt w:val="decimal"/>
      <w:lvlText w:val="%1."/>
      <w:lvlJc w:val="left"/>
      <w:pPr>
        <w:ind w:left="786"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B1C358B"/>
    <w:multiLevelType w:val="hybridMultilevel"/>
    <w:tmpl w:val="B360D8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752CE3"/>
    <w:multiLevelType w:val="hybridMultilevel"/>
    <w:tmpl w:val="61DA5EB6"/>
    <w:lvl w:ilvl="0" w:tplc="0000000F">
      <w:start w:val="1"/>
      <w:numFmt w:val="decimal"/>
      <w:lvlText w:val="%1."/>
      <w:lvlJc w:val="left"/>
      <w:pPr>
        <w:ind w:left="360" w:hanging="360"/>
      </w:pPr>
    </w:lvl>
    <w:lvl w:ilvl="1" w:tplc="00000019" w:tentative="1">
      <w:start w:val="1"/>
      <w:numFmt w:val="lowerLetter"/>
      <w:lvlText w:val="%2."/>
      <w:lvlJc w:val="left"/>
      <w:pPr>
        <w:ind w:left="1080" w:hanging="360"/>
      </w:pPr>
    </w:lvl>
    <w:lvl w:ilvl="2" w:tplc="0000001B" w:tentative="1">
      <w:start w:val="1"/>
      <w:numFmt w:val="lowerRoman"/>
      <w:lvlText w:val="%3."/>
      <w:lvlJc w:val="right"/>
      <w:pPr>
        <w:ind w:left="1800" w:hanging="180"/>
      </w:pPr>
    </w:lvl>
    <w:lvl w:ilvl="3" w:tplc="0000000F" w:tentative="1">
      <w:start w:val="1"/>
      <w:numFmt w:val="decimal"/>
      <w:lvlText w:val="%4."/>
      <w:lvlJc w:val="left"/>
      <w:pPr>
        <w:ind w:left="2520" w:hanging="360"/>
      </w:pPr>
    </w:lvl>
    <w:lvl w:ilvl="4" w:tplc="00000019" w:tentative="1">
      <w:start w:val="1"/>
      <w:numFmt w:val="lowerLetter"/>
      <w:lvlText w:val="%5."/>
      <w:lvlJc w:val="left"/>
      <w:pPr>
        <w:ind w:left="3240" w:hanging="360"/>
      </w:pPr>
    </w:lvl>
    <w:lvl w:ilvl="5" w:tplc="0000001B" w:tentative="1">
      <w:start w:val="1"/>
      <w:numFmt w:val="lowerRoman"/>
      <w:lvlText w:val="%6."/>
      <w:lvlJc w:val="right"/>
      <w:pPr>
        <w:ind w:left="3960" w:hanging="180"/>
      </w:pPr>
    </w:lvl>
    <w:lvl w:ilvl="6" w:tplc="0000000F" w:tentative="1">
      <w:start w:val="1"/>
      <w:numFmt w:val="decimal"/>
      <w:lvlText w:val="%7."/>
      <w:lvlJc w:val="left"/>
      <w:pPr>
        <w:ind w:left="4680" w:hanging="360"/>
      </w:pPr>
    </w:lvl>
    <w:lvl w:ilvl="7" w:tplc="00000019" w:tentative="1">
      <w:start w:val="1"/>
      <w:numFmt w:val="lowerLetter"/>
      <w:lvlText w:val="%8."/>
      <w:lvlJc w:val="left"/>
      <w:pPr>
        <w:ind w:left="5400" w:hanging="360"/>
      </w:pPr>
    </w:lvl>
    <w:lvl w:ilvl="8" w:tplc="0000001B" w:tentative="1">
      <w:start w:val="1"/>
      <w:numFmt w:val="lowerRoman"/>
      <w:lvlText w:val="%9."/>
      <w:lvlJc w:val="right"/>
      <w:pPr>
        <w:ind w:left="6120" w:hanging="180"/>
      </w:pPr>
    </w:lvl>
  </w:abstractNum>
  <w:abstractNum w:abstractNumId="11" w15:restartNumberingAfterBreak="0">
    <w:nsid w:val="27C43E29"/>
    <w:multiLevelType w:val="hybridMultilevel"/>
    <w:tmpl w:val="5642A124"/>
    <w:lvl w:ilvl="0" w:tplc="C284D126">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86A352E"/>
    <w:multiLevelType w:val="hybridMultilevel"/>
    <w:tmpl w:val="A65CC47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3" w15:restartNumberingAfterBreak="0">
    <w:nsid w:val="29AA069E"/>
    <w:multiLevelType w:val="hybridMultilevel"/>
    <w:tmpl w:val="342013B2"/>
    <w:lvl w:ilvl="0" w:tplc="0000000F">
      <w:start w:val="1"/>
      <w:numFmt w:val="decimal"/>
      <w:lvlText w:val="%1."/>
      <w:lvlJc w:val="left"/>
      <w:pPr>
        <w:ind w:left="360" w:hanging="360"/>
      </w:pPr>
    </w:lvl>
    <w:lvl w:ilvl="1" w:tplc="0000000F">
      <w:start w:val="1"/>
      <w:numFmt w:val="decimal"/>
      <w:lvlText w:val="%2."/>
      <w:lvlJc w:val="left"/>
      <w:pPr>
        <w:ind w:left="1080" w:hanging="360"/>
      </w:pPr>
    </w:lvl>
    <w:lvl w:ilvl="2" w:tplc="0000001B" w:tentative="1">
      <w:start w:val="1"/>
      <w:numFmt w:val="lowerRoman"/>
      <w:lvlText w:val="%3."/>
      <w:lvlJc w:val="right"/>
      <w:pPr>
        <w:ind w:left="1800" w:hanging="180"/>
      </w:pPr>
    </w:lvl>
    <w:lvl w:ilvl="3" w:tplc="0000000F" w:tentative="1">
      <w:start w:val="1"/>
      <w:numFmt w:val="decimal"/>
      <w:lvlText w:val="%4."/>
      <w:lvlJc w:val="left"/>
      <w:pPr>
        <w:ind w:left="2520" w:hanging="360"/>
      </w:pPr>
    </w:lvl>
    <w:lvl w:ilvl="4" w:tplc="00000019" w:tentative="1">
      <w:start w:val="1"/>
      <w:numFmt w:val="lowerLetter"/>
      <w:lvlText w:val="%5."/>
      <w:lvlJc w:val="left"/>
      <w:pPr>
        <w:ind w:left="3240" w:hanging="360"/>
      </w:pPr>
    </w:lvl>
    <w:lvl w:ilvl="5" w:tplc="0000001B" w:tentative="1">
      <w:start w:val="1"/>
      <w:numFmt w:val="lowerRoman"/>
      <w:lvlText w:val="%6."/>
      <w:lvlJc w:val="right"/>
      <w:pPr>
        <w:ind w:left="3960" w:hanging="180"/>
      </w:pPr>
    </w:lvl>
    <w:lvl w:ilvl="6" w:tplc="0000000F" w:tentative="1">
      <w:start w:val="1"/>
      <w:numFmt w:val="decimal"/>
      <w:lvlText w:val="%7."/>
      <w:lvlJc w:val="left"/>
      <w:pPr>
        <w:ind w:left="4680" w:hanging="360"/>
      </w:pPr>
    </w:lvl>
    <w:lvl w:ilvl="7" w:tplc="00000019" w:tentative="1">
      <w:start w:val="1"/>
      <w:numFmt w:val="lowerLetter"/>
      <w:lvlText w:val="%8."/>
      <w:lvlJc w:val="left"/>
      <w:pPr>
        <w:ind w:left="5400" w:hanging="360"/>
      </w:pPr>
    </w:lvl>
    <w:lvl w:ilvl="8" w:tplc="0000001B" w:tentative="1">
      <w:start w:val="1"/>
      <w:numFmt w:val="lowerRoman"/>
      <w:lvlText w:val="%9."/>
      <w:lvlJc w:val="right"/>
      <w:pPr>
        <w:ind w:left="6120" w:hanging="180"/>
      </w:pPr>
    </w:lvl>
  </w:abstractNum>
  <w:abstractNum w:abstractNumId="14" w15:restartNumberingAfterBreak="0">
    <w:nsid w:val="2D293CEE"/>
    <w:multiLevelType w:val="hybridMultilevel"/>
    <w:tmpl w:val="4C8C01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E290B24"/>
    <w:multiLevelType w:val="hybridMultilevel"/>
    <w:tmpl w:val="3BA210E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6" w15:restartNumberingAfterBreak="0">
    <w:nsid w:val="351F2C91"/>
    <w:multiLevelType w:val="hybridMultilevel"/>
    <w:tmpl w:val="01241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E90734"/>
    <w:multiLevelType w:val="hybridMultilevel"/>
    <w:tmpl w:val="2B1E90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9897C8F"/>
    <w:multiLevelType w:val="hybridMultilevel"/>
    <w:tmpl w:val="A90E1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4765E3"/>
    <w:multiLevelType w:val="hybridMultilevel"/>
    <w:tmpl w:val="9A5C586A"/>
    <w:lvl w:ilvl="0" w:tplc="0409000F">
      <w:start w:val="1"/>
      <w:numFmt w:val="decimal"/>
      <w:lvlText w:val="%1."/>
      <w:lvlJc w:val="left"/>
      <w:pPr>
        <w:ind w:left="786"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F5C7ABA"/>
    <w:multiLevelType w:val="hybridMultilevel"/>
    <w:tmpl w:val="E618A7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3968BF"/>
    <w:multiLevelType w:val="hybridMultilevel"/>
    <w:tmpl w:val="8200E2A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419D5B6B"/>
    <w:multiLevelType w:val="hybridMultilevel"/>
    <w:tmpl w:val="D3C4B8A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A1D6BE1"/>
    <w:multiLevelType w:val="hybridMultilevel"/>
    <w:tmpl w:val="9CFE66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8C7DDA"/>
    <w:multiLevelType w:val="hybridMultilevel"/>
    <w:tmpl w:val="F99468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45344F4"/>
    <w:multiLevelType w:val="multilevel"/>
    <w:tmpl w:val="2AF8BE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48124A6"/>
    <w:multiLevelType w:val="hybridMultilevel"/>
    <w:tmpl w:val="EA6A72C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A791B42"/>
    <w:multiLevelType w:val="hybridMultilevel"/>
    <w:tmpl w:val="742059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F093720"/>
    <w:multiLevelType w:val="hybridMultilevel"/>
    <w:tmpl w:val="FDD4751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9" w15:restartNumberingAfterBreak="0">
    <w:nsid w:val="62C02F08"/>
    <w:multiLevelType w:val="hybridMultilevel"/>
    <w:tmpl w:val="9CFE66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4154EA8"/>
    <w:multiLevelType w:val="hybridMultilevel"/>
    <w:tmpl w:val="9CFE66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7655872"/>
    <w:multiLevelType w:val="hybridMultilevel"/>
    <w:tmpl w:val="FD1E27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907036E"/>
    <w:multiLevelType w:val="hybridMultilevel"/>
    <w:tmpl w:val="735AA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A1865C3"/>
    <w:multiLevelType w:val="hybridMultilevel"/>
    <w:tmpl w:val="6862E0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C7A63E1"/>
    <w:multiLevelType w:val="hybridMultilevel"/>
    <w:tmpl w:val="9CFE66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D4D7B43"/>
    <w:multiLevelType w:val="hybridMultilevel"/>
    <w:tmpl w:val="BB2E83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F776966"/>
    <w:multiLevelType w:val="hybridMultilevel"/>
    <w:tmpl w:val="97064CAC"/>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0C45753"/>
    <w:multiLevelType w:val="hybridMultilevel"/>
    <w:tmpl w:val="9236C1DA"/>
    <w:lvl w:ilvl="0" w:tplc="8148087A">
      <w:numFmt w:val="bullet"/>
      <w:lvlText w:val="•"/>
      <w:lvlJc w:val="left"/>
      <w:pPr>
        <w:ind w:left="1080" w:hanging="72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59F19D2"/>
    <w:multiLevelType w:val="hybridMultilevel"/>
    <w:tmpl w:val="FEA45CAC"/>
    <w:lvl w:ilvl="0" w:tplc="C262C7E4">
      <w:numFmt w:val="bullet"/>
      <w:lvlText w:val=""/>
      <w:lvlJc w:val="left"/>
      <w:pPr>
        <w:ind w:left="720" w:hanging="360"/>
      </w:pPr>
      <w:rPr>
        <w:rFonts w:ascii="Symbol" w:eastAsiaTheme="minorHAnsi"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9532FB5"/>
    <w:multiLevelType w:val="hybridMultilevel"/>
    <w:tmpl w:val="F014CF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9DE0AD9"/>
    <w:multiLevelType w:val="hybridMultilevel"/>
    <w:tmpl w:val="BEDA66C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1" w15:restartNumberingAfterBreak="0">
    <w:nsid w:val="7C4946A5"/>
    <w:multiLevelType w:val="hybridMultilevel"/>
    <w:tmpl w:val="DF9E6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C4F39ED"/>
    <w:multiLevelType w:val="hybridMultilevel"/>
    <w:tmpl w:val="2B1E90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D284B2A"/>
    <w:multiLevelType w:val="hybridMultilevel"/>
    <w:tmpl w:val="9CFE66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5"/>
  </w:num>
  <w:num w:numId="2">
    <w:abstractNumId w:val="21"/>
  </w:num>
  <w:num w:numId="3">
    <w:abstractNumId w:val="4"/>
  </w:num>
  <w:num w:numId="4">
    <w:abstractNumId w:val="3"/>
  </w:num>
  <w:num w:numId="5">
    <w:abstractNumId w:val="36"/>
  </w:num>
  <w:num w:numId="6">
    <w:abstractNumId w:val="1"/>
  </w:num>
  <w:num w:numId="7">
    <w:abstractNumId w:val="39"/>
  </w:num>
  <w:num w:numId="8">
    <w:abstractNumId w:val="14"/>
  </w:num>
  <w:num w:numId="9">
    <w:abstractNumId w:val="13"/>
  </w:num>
  <w:num w:numId="10">
    <w:abstractNumId w:val="7"/>
  </w:num>
  <w:num w:numId="11">
    <w:abstractNumId w:val="10"/>
  </w:num>
  <w:num w:numId="12">
    <w:abstractNumId w:val="29"/>
  </w:num>
  <w:num w:numId="13">
    <w:abstractNumId w:val="30"/>
  </w:num>
  <w:num w:numId="14">
    <w:abstractNumId w:val="43"/>
  </w:num>
  <w:num w:numId="15">
    <w:abstractNumId w:val="34"/>
  </w:num>
  <w:num w:numId="16">
    <w:abstractNumId w:val="23"/>
  </w:num>
  <w:num w:numId="17">
    <w:abstractNumId w:val="16"/>
  </w:num>
  <w:num w:numId="18">
    <w:abstractNumId w:val="18"/>
  </w:num>
  <w:num w:numId="19">
    <w:abstractNumId w:val="2"/>
  </w:num>
  <w:num w:numId="20">
    <w:abstractNumId w:val="37"/>
  </w:num>
  <w:num w:numId="21">
    <w:abstractNumId w:val="9"/>
  </w:num>
  <w:num w:numId="2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num>
  <w:num w:numId="24">
    <w:abstractNumId w:val="42"/>
  </w:num>
  <w:num w:numId="25">
    <w:abstractNumId w:val="38"/>
  </w:num>
  <w:num w:numId="26">
    <w:abstractNumId w:val="27"/>
  </w:num>
  <w:num w:numId="27">
    <w:abstractNumId w:val="35"/>
  </w:num>
  <w:num w:numId="28">
    <w:abstractNumId w:val="24"/>
  </w:num>
  <w:num w:numId="29">
    <w:abstractNumId w:val="31"/>
  </w:num>
  <w:num w:numId="3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
  </w:num>
  <w:num w:numId="34">
    <w:abstractNumId w:val="20"/>
  </w:num>
  <w:num w:numId="35">
    <w:abstractNumId w:val="6"/>
  </w:num>
  <w:num w:numId="36">
    <w:abstractNumId w:val="8"/>
  </w:num>
  <w:num w:numId="37">
    <w:abstractNumId w:val="0"/>
  </w:num>
  <w:num w:numId="38">
    <w:abstractNumId w:val="12"/>
  </w:num>
  <w:num w:numId="39">
    <w:abstractNumId w:val="0"/>
    <w:lvlOverride w:ilvl="0">
      <w:startOverride w:val="1"/>
    </w:lvlOverride>
  </w:num>
  <w:num w:numId="40">
    <w:abstractNumId w:val="19"/>
  </w:num>
  <w:num w:numId="41">
    <w:abstractNumId w:val="41"/>
  </w:num>
  <w:num w:numId="42">
    <w:abstractNumId w:val="33"/>
  </w:num>
  <w:num w:numId="43">
    <w:abstractNumId w:val="32"/>
  </w:num>
  <w:num w:numId="44">
    <w:abstractNumId w:val="22"/>
  </w:num>
  <w:num w:numId="45">
    <w:abstractNumId w:val="26"/>
  </w:num>
  <w:num w:numId="4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M7G0MDQ2MTM1tDQ3tDRR0lEKTi0uzszPAykwrgUAfwsUeywAAAA="/>
  </w:docVars>
  <w:rsids>
    <w:rsidRoot w:val="0058556D"/>
    <w:rsid w:val="00004718"/>
    <w:rsid w:val="000070BA"/>
    <w:rsid w:val="00015188"/>
    <w:rsid w:val="000173F9"/>
    <w:rsid w:val="000254D8"/>
    <w:rsid w:val="00032372"/>
    <w:rsid w:val="00032A48"/>
    <w:rsid w:val="00035A5C"/>
    <w:rsid w:val="00035ABB"/>
    <w:rsid w:val="00036611"/>
    <w:rsid w:val="000462B3"/>
    <w:rsid w:val="00047DDA"/>
    <w:rsid w:val="00055DDD"/>
    <w:rsid w:val="00055F78"/>
    <w:rsid w:val="000608FF"/>
    <w:rsid w:val="00064F28"/>
    <w:rsid w:val="000705AA"/>
    <w:rsid w:val="00071F07"/>
    <w:rsid w:val="00075361"/>
    <w:rsid w:val="0007759D"/>
    <w:rsid w:val="000777AB"/>
    <w:rsid w:val="00090FB1"/>
    <w:rsid w:val="00092424"/>
    <w:rsid w:val="00094055"/>
    <w:rsid w:val="00096186"/>
    <w:rsid w:val="000A0890"/>
    <w:rsid w:val="000A2A9E"/>
    <w:rsid w:val="000A72E4"/>
    <w:rsid w:val="000A7500"/>
    <w:rsid w:val="000B0E2F"/>
    <w:rsid w:val="000B2430"/>
    <w:rsid w:val="000C4A34"/>
    <w:rsid w:val="000C629D"/>
    <w:rsid w:val="000D0B30"/>
    <w:rsid w:val="000E5E8B"/>
    <w:rsid w:val="000F4D4D"/>
    <w:rsid w:val="000F703E"/>
    <w:rsid w:val="00101081"/>
    <w:rsid w:val="00101637"/>
    <w:rsid w:val="0010716A"/>
    <w:rsid w:val="00107B50"/>
    <w:rsid w:val="00110F55"/>
    <w:rsid w:val="00111885"/>
    <w:rsid w:val="001166FA"/>
    <w:rsid w:val="00120E86"/>
    <w:rsid w:val="00121127"/>
    <w:rsid w:val="00122E62"/>
    <w:rsid w:val="0012467E"/>
    <w:rsid w:val="001250A0"/>
    <w:rsid w:val="00125DE9"/>
    <w:rsid w:val="00130616"/>
    <w:rsid w:val="001332E0"/>
    <w:rsid w:val="00134DE7"/>
    <w:rsid w:val="00135FEA"/>
    <w:rsid w:val="00137D91"/>
    <w:rsid w:val="00150B83"/>
    <w:rsid w:val="00150DA1"/>
    <w:rsid w:val="00150DE6"/>
    <w:rsid w:val="00154CF7"/>
    <w:rsid w:val="00154DA8"/>
    <w:rsid w:val="00160F88"/>
    <w:rsid w:val="00162358"/>
    <w:rsid w:val="00177D59"/>
    <w:rsid w:val="00181CF7"/>
    <w:rsid w:val="00185354"/>
    <w:rsid w:val="001854DC"/>
    <w:rsid w:val="00194D09"/>
    <w:rsid w:val="00195BDD"/>
    <w:rsid w:val="001961FD"/>
    <w:rsid w:val="001A21B2"/>
    <w:rsid w:val="001A56A5"/>
    <w:rsid w:val="001B20FE"/>
    <w:rsid w:val="001B5FF3"/>
    <w:rsid w:val="001C06F5"/>
    <w:rsid w:val="001C421F"/>
    <w:rsid w:val="001D043F"/>
    <w:rsid w:val="001D0CF1"/>
    <w:rsid w:val="001D360D"/>
    <w:rsid w:val="001E3A24"/>
    <w:rsid w:val="001E65BC"/>
    <w:rsid w:val="001E73E2"/>
    <w:rsid w:val="001F36FC"/>
    <w:rsid w:val="001F59AE"/>
    <w:rsid w:val="001F733C"/>
    <w:rsid w:val="00207343"/>
    <w:rsid w:val="00213688"/>
    <w:rsid w:val="002168CA"/>
    <w:rsid w:val="0022442A"/>
    <w:rsid w:val="002247F4"/>
    <w:rsid w:val="00234030"/>
    <w:rsid w:val="00246D77"/>
    <w:rsid w:val="00261A8D"/>
    <w:rsid w:val="00262017"/>
    <w:rsid w:val="00264147"/>
    <w:rsid w:val="00264C21"/>
    <w:rsid w:val="00267C67"/>
    <w:rsid w:val="002701C0"/>
    <w:rsid w:val="00281C50"/>
    <w:rsid w:val="002837E5"/>
    <w:rsid w:val="00283C1C"/>
    <w:rsid w:val="00284246"/>
    <w:rsid w:val="0028488B"/>
    <w:rsid w:val="00291A00"/>
    <w:rsid w:val="00291A11"/>
    <w:rsid w:val="002A2174"/>
    <w:rsid w:val="002A315C"/>
    <w:rsid w:val="002A3342"/>
    <w:rsid w:val="002A64BA"/>
    <w:rsid w:val="002B4989"/>
    <w:rsid w:val="002B534F"/>
    <w:rsid w:val="002B6EB5"/>
    <w:rsid w:val="002C563D"/>
    <w:rsid w:val="002C68EE"/>
    <w:rsid w:val="002D5307"/>
    <w:rsid w:val="002D5862"/>
    <w:rsid w:val="002D714E"/>
    <w:rsid w:val="002E4107"/>
    <w:rsid w:val="002E53C3"/>
    <w:rsid w:val="002E6580"/>
    <w:rsid w:val="002F18DA"/>
    <w:rsid w:val="002F2F8F"/>
    <w:rsid w:val="00300EFB"/>
    <w:rsid w:val="00302F23"/>
    <w:rsid w:val="003139D0"/>
    <w:rsid w:val="003152D4"/>
    <w:rsid w:val="003206A4"/>
    <w:rsid w:val="00326C05"/>
    <w:rsid w:val="00337D91"/>
    <w:rsid w:val="003420D7"/>
    <w:rsid w:val="00343FAA"/>
    <w:rsid w:val="0034718B"/>
    <w:rsid w:val="00347DE8"/>
    <w:rsid w:val="00353C98"/>
    <w:rsid w:val="00357B42"/>
    <w:rsid w:val="00370E34"/>
    <w:rsid w:val="003758C5"/>
    <w:rsid w:val="003759CD"/>
    <w:rsid w:val="003810D8"/>
    <w:rsid w:val="003847EB"/>
    <w:rsid w:val="003853A8"/>
    <w:rsid w:val="00390D84"/>
    <w:rsid w:val="003944DB"/>
    <w:rsid w:val="003A5942"/>
    <w:rsid w:val="003A7CEA"/>
    <w:rsid w:val="003B175F"/>
    <w:rsid w:val="003B1828"/>
    <w:rsid w:val="003B51DE"/>
    <w:rsid w:val="003C679B"/>
    <w:rsid w:val="003C7562"/>
    <w:rsid w:val="003D4CC6"/>
    <w:rsid w:val="003D76D4"/>
    <w:rsid w:val="003E032F"/>
    <w:rsid w:val="003E7C9D"/>
    <w:rsid w:val="003F0BD3"/>
    <w:rsid w:val="003F38D9"/>
    <w:rsid w:val="003F7918"/>
    <w:rsid w:val="004014F4"/>
    <w:rsid w:val="0040273C"/>
    <w:rsid w:val="00412D2F"/>
    <w:rsid w:val="00422EFA"/>
    <w:rsid w:val="004263A3"/>
    <w:rsid w:val="00426D7E"/>
    <w:rsid w:val="00436350"/>
    <w:rsid w:val="004456ED"/>
    <w:rsid w:val="00450F4F"/>
    <w:rsid w:val="00451605"/>
    <w:rsid w:val="00452ED7"/>
    <w:rsid w:val="00457768"/>
    <w:rsid w:val="0046360D"/>
    <w:rsid w:val="004811FD"/>
    <w:rsid w:val="004841B8"/>
    <w:rsid w:val="00493004"/>
    <w:rsid w:val="00496FAF"/>
    <w:rsid w:val="00497DA0"/>
    <w:rsid w:val="004A3DE3"/>
    <w:rsid w:val="004A7E8E"/>
    <w:rsid w:val="004B0A46"/>
    <w:rsid w:val="004B0F1C"/>
    <w:rsid w:val="004B30CC"/>
    <w:rsid w:val="004C19E9"/>
    <w:rsid w:val="004D2D9A"/>
    <w:rsid w:val="004D4152"/>
    <w:rsid w:val="004D6C13"/>
    <w:rsid w:val="004E2881"/>
    <w:rsid w:val="004E6D8F"/>
    <w:rsid w:val="004F752D"/>
    <w:rsid w:val="005028D1"/>
    <w:rsid w:val="00502DBA"/>
    <w:rsid w:val="005040C4"/>
    <w:rsid w:val="00507462"/>
    <w:rsid w:val="00507637"/>
    <w:rsid w:val="005101F2"/>
    <w:rsid w:val="00514DBF"/>
    <w:rsid w:val="00521ADD"/>
    <w:rsid w:val="00531887"/>
    <w:rsid w:val="00534B82"/>
    <w:rsid w:val="00542B78"/>
    <w:rsid w:val="00550921"/>
    <w:rsid w:val="0055384D"/>
    <w:rsid w:val="0056067B"/>
    <w:rsid w:val="005617F0"/>
    <w:rsid w:val="00565B54"/>
    <w:rsid w:val="00573631"/>
    <w:rsid w:val="00581997"/>
    <w:rsid w:val="00582BD7"/>
    <w:rsid w:val="0058556D"/>
    <w:rsid w:val="00585A4F"/>
    <w:rsid w:val="00590DD8"/>
    <w:rsid w:val="00597748"/>
    <w:rsid w:val="005A347C"/>
    <w:rsid w:val="005A568B"/>
    <w:rsid w:val="005B1302"/>
    <w:rsid w:val="005B6B04"/>
    <w:rsid w:val="005C381A"/>
    <w:rsid w:val="005C4B68"/>
    <w:rsid w:val="005C4D72"/>
    <w:rsid w:val="005C6570"/>
    <w:rsid w:val="005C7A7C"/>
    <w:rsid w:val="005D0AF4"/>
    <w:rsid w:val="005D6680"/>
    <w:rsid w:val="005D6E8E"/>
    <w:rsid w:val="005E2008"/>
    <w:rsid w:val="005E3A05"/>
    <w:rsid w:val="005E4006"/>
    <w:rsid w:val="005F44AC"/>
    <w:rsid w:val="005F6CCA"/>
    <w:rsid w:val="00605DD9"/>
    <w:rsid w:val="006104AF"/>
    <w:rsid w:val="0062025E"/>
    <w:rsid w:val="00621609"/>
    <w:rsid w:val="00621893"/>
    <w:rsid w:val="00631E4B"/>
    <w:rsid w:val="006351E1"/>
    <w:rsid w:val="006369AF"/>
    <w:rsid w:val="00641D4D"/>
    <w:rsid w:val="00641F90"/>
    <w:rsid w:val="00643838"/>
    <w:rsid w:val="006500E5"/>
    <w:rsid w:val="006504C0"/>
    <w:rsid w:val="00653424"/>
    <w:rsid w:val="00653F12"/>
    <w:rsid w:val="00655C21"/>
    <w:rsid w:val="00660978"/>
    <w:rsid w:val="006665AC"/>
    <w:rsid w:val="00681F7C"/>
    <w:rsid w:val="006852FC"/>
    <w:rsid w:val="00685615"/>
    <w:rsid w:val="006863C9"/>
    <w:rsid w:val="00691EDD"/>
    <w:rsid w:val="006A57B0"/>
    <w:rsid w:val="006A5B87"/>
    <w:rsid w:val="006B1D15"/>
    <w:rsid w:val="006B40AB"/>
    <w:rsid w:val="006B5DC5"/>
    <w:rsid w:val="006B65DC"/>
    <w:rsid w:val="006C7D30"/>
    <w:rsid w:val="006C7FE6"/>
    <w:rsid w:val="006E3C08"/>
    <w:rsid w:val="006E40F9"/>
    <w:rsid w:val="006F2E50"/>
    <w:rsid w:val="006F33F0"/>
    <w:rsid w:val="006F3EE4"/>
    <w:rsid w:val="006F4432"/>
    <w:rsid w:val="006F462C"/>
    <w:rsid w:val="006F679D"/>
    <w:rsid w:val="0070098F"/>
    <w:rsid w:val="00700ACF"/>
    <w:rsid w:val="00706122"/>
    <w:rsid w:val="00712487"/>
    <w:rsid w:val="007137BC"/>
    <w:rsid w:val="0071745F"/>
    <w:rsid w:val="00722840"/>
    <w:rsid w:val="00727C87"/>
    <w:rsid w:val="00737BD3"/>
    <w:rsid w:val="00741FC1"/>
    <w:rsid w:val="00743774"/>
    <w:rsid w:val="00752907"/>
    <w:rsid w:val="007530CA"/>
    <w:rsid w:val="00757482"/>
    <w:rsid w:val="007578D9"/>
    <w:rsid w:val="00763E43"/>
    <w:rsid w:val="00764EB5"/>
    <w:rsid w:val="0077079B"/>
    <w:rsid w:val="007708C4"/>
    <w:rsid w:val="00777A95"/>
    <w:rsid w:val="0078637D"/>
    <w:rsid w:val="007902A5"/>
    <w:rsid w:val="007933D7"/>
    <w:rsid w:val="0079559E"/>
    <w:rsid w:val="007A1541"/>
    <w:rsid w:val="007A31B4"/>
    <w:rsid w:val="007A334F"/>
    <w:rsid w:val="007A3E84"/>
    <w:rsid w:val="007A5008"/>
    <w:rsid w:val="007B29CC"/>
    <w:rsid w:val="007B68A0"/>
    <w:rsid w:val="007C0C0B"/>
    <w:rsid w:val="007C750C"/>
    <w:rsid w:val="007D02AC"/>
    <w:rsid w:val="007D0981"/>
    <w:rsid w:val="007D1929"/>
    <w:rsid w:val="007E548A"/>
    <w:rsid w:val="007F1CE2"/>
    <w:rsid w:val="007F2F47"/>
    <w:rsid w:val="007F6EAE"/>
    <w:rsid w:val="008000A0"/>
    <w:rsid w:val="00803CF1"/>
    <w:rsid w:val="00814EAE"/>
    <w:rsid w:val="008158BB"/>
    <w:rsid w:val="00823D7C"/>
    <w:rsid w:val="008249C5"/>
    <w:rsid w:val="00834511"/>
    <w:rsid w:val="00841265"/>
    <w:rsid w:val="00850A37"/>
    <w:rsid w:val="008526F9"/>
    <w:rsid w:val="008705DD"/>
    <w:rsid w:val="008732D6"/>
    <w:rsid w:val="00881E28"/>
    <w:rsid w:val="00887418"/>
    <w:rsid w:val="00887A6F"/>
    <w:rsid w:val="00887DE2"/>
    <w:rsid w:val="00894C4B"/>
    <w:rsid w:val="00896CE1"/>
    <w:rsid w:val="008A12E3"/>
    <w:rsid w:val="008A3943"/>
    <w:rsid w:val="008A42FA"/>
    <w:rsid w:val="008A55C8"/>
    <w:rsid w:val="008A71A5"/>
    <w:rsid w:val="008A7B7B"/>
    <w:rsid w:val="008B42E3"/>
    <w:rsid w:val="008B51DB"/>
    <w:rsid w:val="008C2335"/>
    <w:rsid w:val="008C67C1"/>
    <w:rsid w:val="008C6FA8"/>
    <w:rsid w:val="008E0F19"/>
    <w:rsid w:val="008E2FAF"/>
    <w:rsid w:val="008F3067"/>
    <w:rsid w:val="008F41E9"/>
    <w:rsid w:val="009055EC"/>
    <w:rsid w:val="00913CB1"/>
    <w:rsid w:val="00917F65"/>
    <w:rsid w:val="009311E7"/>
    <w:rsid w:val="00936CF1"/>
    <w:rsid w:val="00941753"/>
    <w:rsid w:val="00961D6F"/>
    <w:rsid w:val="0096377C"/>
    <w:rsid w:val="00972936"/>
    <w:rsid w:val="00972C72"/>
    <w:rsid w:val="00982543"/>
    <w:rsid w:val="0098476A"/>
    <w:rsid w:val="009907E6"/>
    <w:rsid w:val="009927AD"/>
    <w:rsid w:val="00994FE1"/>
    <w:rsid w:val="009957B8"/>
    <w:rsid w:val="009A492A"/>
    <w:rsid w:val="009A6DFC"/>
    <w:rsid w:val="009A7E3A"/>
    <w:rsid w:val="009B10E3"/>
    <w:rsid w:val="009B1265"/>
    <w:rsid w:val="009B5693"/>
    <w:rsid w:val="009B5732"/>
    <w:rsid w:val="009C508F"/>
    <w:rsid w:val="009C7168"/>
    <w:rsid w:val="009D13BC"/>
    <w:rsid w:val="009D36CA"/>
    <w:rsid w:val="009D424B"/>
    <w:rsid w:val="009D572B"/>
    <w:rsid w:val="009D687E"/>
    <w:rsid w:val="009F055A"/>
    <w:rsid w:val="009F058A"/>
    <w:rsid w:val="009F6390"/>
    <w:rsid w:val="009F6DE7"/>
    <w:rsid w:val="00A023DF"/>
    <w:rsid w:val="00A069D1"/>
    <w:rsid w:val="00A106E5"/>
    <w:rsid w:val="00A10C6D"/>
    <w:rsid w:val="00A116BD"/>
    <w:rsid w:val="00A242E3"/>
    <w:rsid w:val="00A25880"/>
    <w:rsid w:val="00A32BAA"/>
    <w:rsid w:val="00A37FCB"/>
    <w:rsid w:val="00A44282"/>
    <w:rsid w:val="00A54863"/>
    <w:rsid w:val="00A61D74"/>
    <w:rsid w:val="00A63F66"/>
    <w:rsid w:val="00A649E3"/>
    <w:rsid w:val="00A85EFF"/>
    <w:rsid w:val="00A8688B"/>
    <w:rsid w:val="00A91E90"/>
    <w:rsid w:val="00A9286F"/>
    <w:rsid w:val="00A958FC"/>
    <w:rsid w:val="00A974C0"/>
    <w:rsid w:val="00AB5C97"/>
    <w:rsid w:val="00AB7E07"/>
    <w:rsid w:val="00AC1A39"/>
    <w:rsid w:val="00AC43DF"/>
    <w:rsid w:val="00AD2B5C"/>
    <w:rsid w:val="00AD2EF6"/>
    <w:rsid w:val="00AE2F0A"/>
    <w:rsid w:val="00AF44BA"/>
    <w:rsid w:val="00AF5CB4"/>
    <w:rsid w:val="00AF71D6"/>
    <w:rsid w:val="00B01CE1"/>
    <w:rsid w:val="00B0315B"/>
    <w:rsid w:val="00B05F64"/>
    <w:rsid w:val="00B11843"/>
    <w:rsid w:val="00B15CD2"/>
    <w:rsid w:val="00B16CFE"/>
    <w:rsid w:val="00B279C2"/>
    <w:rsid w:val="00B27D68"/>
    <w:rsid w:val="00B3175F"/>
    <w:rsid w:val="00B34031"/>
    <w:rsid w:val="00B37ADD"/>
    <w:rsid w:val="00B402D8"/>
    <w:rsid w:val="00B41611"/>
    <w:rsid w:val="00B4237C"/>
    <w:rsid w:val="00B42FCC"/>
    <w:rsid w:val="00B42FE8"/>
    <w:rsid w:val="00B46AFF"/>
    <w:rsid w:val="00B47085"/>
    <w:rsid w:val="00B5157E"/>
    <w:rsid w:val="00B52AFD"/>
    <w:rsid w:val="00B54077"/>
    <w:rsid w:val="00B71AE7"/>
    <w:rsid w:val="00B71BD2"/>
    <w:rsid w:val="00B7308B"/>
    <w:rsid w:val="00B732F0"/>
    <w:rsid w:val="00B73A71"/>
    <w:rsid w:val="00B80CCA"/>
    <w:rsid w:val="00B8513D"/>
    <w:rsid w:val="00B85169"/>
    <w:rsid w:val="00B87425"/>
    <w:rsid w:val="00B91962"/>
    <w:rsid w:val="00B93D2C"/>
    <w:rsid w:val="00BA5421"/>
    <w:rsid w:val="00BB646E"/>
    <w:rsid w:val="00BC3458"/>
    <w:rsid w:val="00BC4F2E"/>
    <w:rsid w:val="00BC5BA7"/>
    <w:rsid w:val="00BD1BA1"/>
    <w:rsid w:val="00BD691D"/>
    <w:rsid w:val="00BE3CE8"/>
    <w:rsid w:val="00BE5B92"/>
    <w:rsid w:val="00BE6DE5"/>
    <w:rsid w:val="00BF132B"/>
    <w:rsid w:val="00BF169C"/>
    <w:rsid w:val="00BF28EE"/>
    <w:rsid w:val="00BF6253"/>
    <w:rsid w:val="00C029CE"/>
    <w:rsid w:val="00C173D2"/>
    <w:rsid w:val="00C208DF"/>
    <w:rsid w:val="00C22809"/>
    <w:rsid w:val="00C2572D"/>
    <w:rsid w:val="00C27FC5"/>
    <w:rsid w:val="00C339E1"/>
    <w:rsid w:val="00C35BC4"/>
    <w:rsid w:val="00C40C3E"/>
    <w:rsid w:val="00C42B92"/>
    <w:rsid w:val="00C43F5B"/>
    <w:rsid w:val="00C5250B"/>
    <w:rsid w:val="00C628CF"/>
    <w:rsid w:val="00C65CC8"/>
    <w:rsid w:val="00C664D5"/>
    <w:rsid w:val="00C67057"/>
    <w:rsid w:val="00C673FC"/>
    <w:rsid w:val="00C745CF"/>
    <w:rsid w:val="00C82B9E"/>
    <w:rsid w:val="00C90310"/>
    <w:rsid w:val="00C94C63"/>
    <w:rsid w:val="00C96869"/>
    <w:rsid w:val="00CA32D1"/>
    <w:rsid w:val="00CA3387"/>
    <w:rsid w:val="00CA39FF"/>
    <w:rsid w:val="00CA594E"/>
    <w:rsid w:val="00CA5B09"/>
    <w:rsid w:val="00CA7C0D"/>
    <w:rsid w:val="00CB1B95"/>
    <w:rsid w:val="00CB32DB"/>
    <w:rsid w:val="00CB4371"/>
    <w:rsid w:val="00CB52FC"/>
    <w:rsid w:val="00CC1EA4"/>
    <w:rsid w:val="00CD6755"/>
    <w:rsid w:val="00CE001D"/>
    <w:rsid w:val="00CE2BC1"/>
    <w:rsid w:val="00CF3BDC"/>
    <w:rsid w:val="00CF4882"/>
    <w:rsid w:val="00CF4E2C"/>
    <w:rsid w:val="00D0004D"/>
    <w:rsid w:val="00D0506A"/>
    <w:rsid w:val="00D129DE"/>
    <w:rsid w:val="00D2247D"/>
    <w:rsid w:val="00D27244"/>
    <w:rsid w:val="00D30AF7"/>
    <w:rsid w:val="00D40056"/>
    <w:rsid w:val="00D44F05"/>
    <w:rsid w:val="00D517D7"/>
    <w:rsid w:val="00D66CC5"/>
    <w:rsid w:val="00D672D1"/>
    <w:rsid w:val="00D674A2"/>
    <w:rsid w:val="00D70AD9"/>
    <w:rsid w:val="00D712CA"/>
    <w:rsid w:val="00D712E3"/>
    <w:rsid w:val="00D72152"/>
    <w:rsid w:val="00D82F06"/>
    <w:rsid w:val="00D87EFA"/>
    <w:rsid w:val="00D94BA5"/>
    <w:rsid w:val="00D9510F"/>
    <w:rsid w:val="00DB3EFE"/>
    <w:rsid w:val="00DB608E"/>
    <w:rsid w:val="00DB6143"/>
    <w:rsid w:val="00DC13E8"/>
    <w:rsid w:val="00DC2E89"/>
    <w:rsid w:val="00DC7969"/>
    <w:rsid w:val="00DD27C6"/>
    <w:rsid w:val="00DD79EA"/>
    <w:rsid w:val="00DE1F58"/>
    <w:rsid w:val="00DE5DC3"/>
    <w:rsid w:val="00DF0759"/>
    <w:rsid w:val="00DF6B00"/>
    <w:rsid w:val="00E00D8A"/>
    <w:rsid w:val="00E0305C"/>
    <w:rsid w:val="00E03F24"/>
    <w:rsid w:val="00E052E1"/>
    <w:rsid w:val="00E05C46"/>
    <w:rsid w:val="00E11604"/>
    <w:rsid w:val="00E11D92"/>
    <w:rsid w:val="00E130A0"/>
    <w:rsid w:val="00E14455"/>
    <w:rsid w:val="00E14F0D"/>
    <w:rsid w:val="00E1506D"/>
    <w:rsid w:val="00E210C4"/>
    <w:rsid w:val="00E300F4"/>
    <w:rsid w:val="00E40004"/>
    <w:rsid w:val="00E51142"/>
    <w:rsid w:val="00E620FD"/>
    <w:rsid w:val="00E66409"/>
    <w:rsid w:val="00E679E8"/>
    <w:rsid w:val="00E76D56"/>
    <w:rsid w:val="00E81D5B"/>
    <w:rsid w:val="00E83B4E"/>
    <w:rsid w:val="00E84168"/>
    <w:rsid w:val="00EA2CC1"/>
    <w:rsid w:val="00EA342E"/>
    <w:rsid w:val="00EA694D"/>
    <w:rsid w:val="00EB03F6"/>
    <w:rsid w:val="00EB19AD"/>
    <w:rsid w:val="00EB2426"/>
    <w:rsid w:val="00EB331C"/>
    <w:rsid w:val="00EB4286"/>
    <w:rsid w:val="00EB529B"/>
    <w:rsid w:val="00EB6493"/>
    <w:rsid w:val="00EC13CE"/>
    <w:rsid w:val="00EC6825"/>
    <w:rsid w:val="00ED05A9"/>
    <w:rsid w:val="00ED47FA"/>
    <w:rsid w:val="00ED67A3"/>
    <w:rsid w:val="00EE54EF"/>
    <w:rsid w:val="00EF0EC3"/>
    <w:rsid w:val="00EF2685"/>
    <w:rsid w:val="00EF30A8"/>
    <w:rsid w:val="00EF546D"/>
    <w:rsid w:val="00EF69A9"/>
    <w:rsid w:val="00F07FD7"/>
    <w:rsid w:val="00F10971"/>
    <w:rsid w:val="00F16A78"/>
    <w:rsid w:val="00F17257"/>
    <w:rsid w:val="00F22D82"/>
    <w:rsid w:val="00F344EE"/>
    <w:rsid w:val="00F34D24"/>
    <w:rsid w:val="00F45B03"/>
    <w:rsid w:val="00F51A7C"/>
    <w:rsid w:val="00F5406F"/>
    <w:rsid w:val="00F556A2"/>
    <w:rsid w:val="00F57789"/>
    <w:rsid w:val="00F61EC7"/>
    <w:rsid w:val="00F6667F"/>
    <w:rsid w:val="00F7665B"/>
    <w:rsid w:val="00F878B9"/>
    <w:rsid w:val="00F97E33"/>
    <w:rsid w:val="00FB24E8"/>
    <w:rsid w:val="00FC18DA"/>
    <w:rsid w:val="00FC6171"/>
    <w:rsid w:val="00FD1C63"/>
    <w:rsid w:val="00FD325C"/>
    <w:rsid w:val="00FD3DE1"/>
    <w:rsid w:val="00FD4E59"/>
    <w:rsid w:val="00FD60DA"/>
    <w:rsid w:val="00FE3CB8"/>
    <w:rsid w:val="00FE4B26"/>
    <w:rsid w:val="00FE776C"/>
    <w:rsid w:val="00FF19B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C2B551"/>
  <w15:docId w15:val="{DA13E15B-8976-4CB3-ADDF-B420CCAF6B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8556D"/>
    <w:pPr>
      <w:keepNext/>
      <w:keepLines/>
      <w:spacing w:before="480" w:after="0" w:line="240" w:lineRule="auto"/>
      <w:jc w:val="both"/>
      <w:outlineLvl w:val="0"/>
    </w:pPr>
    <w:rPr>
      <w:rFonts w:asciiTheme="majorHAnsi" w:eastAsiaTheme="majorEastAsia" w:hAnsiTheme="majorHAnsi" w:cstheme="majorBidi"/>
      <w:b/>
      <w:bCs/>
      <w:color w:val="365F91" w:themeColor="accent1" w:themeShade="BF"/>
      <w:sz w:val="28"/>
      <w:szCs w:val="28"/>
      <w:lang w:eastAsia="en-US"/>
    </w:rPr>
  </w:style>
  <w:style w:type="paragraph" w:styleId="Heading2">
    <w:name w:val="heading 2"/>
    <w:basedOn w:val="Normal"/>
    <w:next w:val="Normal"/>
    <w:link w:val="Heading2Char"/>
    <w:uiPriority w:val="9"/>
    <w:unhideWhenUsed/>
    <w:qFormat/>
    <w:rsid w:val="00660978"/>
    <w:pPr>
      <w:keepNext/>
      <w:keepLines/>
      <w:spacing w:before="40" w:after="0" w:line="259" w:lineRule="auto"/>
      <w:outlineLvl w:val="1"/>
    </w:pPr>
    <w:rPr>
      <w:rFonts w:asciiTheme="majorHAnsi" w:eastAsiaTheme="majorEastAsia" w:hAnsiTheme="majorHAnsi" w:cstheme="majorBidi"/>
      <w:color w:val="365F91" w:themeColor="accent1" w:themeShade="BF"/>
      <w:sz w:val="26"/>
      <w:szCs w:val="26"/>
      <w:lang w:val="en-US" w:eastAsia="en-US"/>
    </w:rPr>
  </w:style>
  <w:style w:type="paragraph" w:styleId="Heading3">
    <w:name w:val="heading 3"/>
    <w:basedOn w:val="Normal"/>
    <w:next w:val="Normal"/>
    <w:link w:val="Heading3Char"/>
    <w:uiPriority w:val="9"/>
    <w:unhideWhenUsed/>
    <w:qFormat/>
    <w:rsid w:val="00660978"/>
    <w:pPr>
      <w:keepNext/>
      <w:keepLines/>
      <w:spacing w:before="40" w:after="0" w:line="259" w:lineRule="auto"/>
      <w:outlineLvl w:val="2"/>
    </w:pPr>
    <w:rPr>
      <w:rFonts w:asciiTheme="majorHAnsi" w:eastAsiaTheme="majorEastAsia" w:hAnsiTheme="majorHAnsi" w:cstheme="majorBidi"/>
      <w:color w:val="243F60" w:themeColor="accent1" w:themeShade="7F"/>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8556D"/>
    <w:rPr>
      <w:rFonts w:asciiTheme="majorHAnsi" w:eastAsiaTheme="majorEastAsia" w:hAnsiTheme="majorHAnsi" w:cstheme="majorBidi"/>
      <w:b/>
      <w:bCs/>
      <w:color w:val="365F91" w:themeColor="accent1" w:themeShade="BF"/>
      <w:sz w:val="28"/>
      <w:szCs w:val="28"/>
      <w:lang w:eastAsia="en-US"/>
    </w:rPr>
  </w:style>
  <w:style w:type="paragraph" w:styleId="BalloonText">
    <w:name w:val="Balloon Text"/>
    <w:basedOn w:val="Normal"/>
    <w:link w:val="BalloonTextChar"/>
    <w:uiPriority w:val="99"/>
    <w:semiHidden/>
    <w:unhideWhenUsed/>
    <w:rsid w:val="00D70AD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70AD9"/>
    <w:rPr>
      <w:rFonts w:ascii="Tahoma" w:hAnsi="Tahoma" w:cs="Tahoma"/>
      <w:sz w:val="16"/>
      <w:szCs w:val="16"/>
    </w:rPr>
  </w:style>
  <w:style w:type="character" w:styleId="CommentReference">
    <w:name w:val="annotation reference"/>
    <w:basedOn w:val="DefaultParagraphFont"/>
    <w:uiPriority w:val="99"/>
    <w:semiHidden/>
    <w:unhideWhenUsed/>
    <w:rsid w:val="00A61D74"/>
    <w:rPr>
      <w:sz w:val="16"/>
      <w:szCs w:val="16"/>
    </w:rPr>
  </w:style>
  <w:style w:type="paragraph" w:styleId="CommentText">
    <w:name w:val="annotation text"/>
    <w:basedOn w:val="Normal"/>
    <w:link w:val="CommentTextChar"/>
    <w:uiPriority w:val="99"/>
    <w:unhideWhenUsed/>
    <w:rsid w:val="00A61D74"/>
    <w:pPr>
      <w:spacing w:line="240" w:lineRule="auto"/>
    </w:pPr>
    <w:rPr>
      <w:sz w:val="20"/>
      <w:szCs w:val="20"/>
    </w:rPr>
  </w:style>
  <w:style w:type="character" w:customStyle="1" w:styleId="CommentTextChar">
    <w:name w:val="Comment Text Char"/>
    <w:basedOn w:val="DefaultParagraphFont"/>
    <w:link w:val="CommentText"/>
    <w:uiPriority w:val="99"/>
    <w:rsid w:val="00A61D74"/>
    <w:rPr>
      <w:sz w:val="20"/>
      <w:szCs w:val="20"/>
    </w:rPr>
  </w:style>
  <w:style w:type="paragraph" w:styleId="CommentSubject">
    <w:name w:val="annotation subject"/>
    <w:basedOn w:val="CommentText"/>
    <w:next w:val="CommentText"/>
    <w:link w:val="CommentSubjectChar"/>
    <w:uiPriority w:val="99"/>
    <w:semiHidden/>
    <w:unhideWhenUsed/>
    <w:rsid w:val="00A61D74"/>
    <w:rPr>
      <w:b/>
      <w:bCs/>
    </w:rPr>
  </w:style>
  <w:style w:type="character" w:customStyle="1" w:styleId="CommentSubjectChar">
    <w:name w:val="Comment Subject Char"/>
    <w:basedOn w:val="CommentTextChar"/>
    <w:link w:val="CommentSubject"/>
    <w:uiPriority w:val="99"/>
    <w:semiHidden/>
    <w:rsid w:val="00A61D74"/>
    <w:rPr>
      <w:b/>
      <w:bCs/>
      <w:sz w:val="20"/>
      <w:szCs w:val="20"/>
    </w:rPr>
  </w:style>
  <w:style w:type="paragraph" w:styleId="ListParagraph">
    <w:name w:val="List Paragraph"/>
    <w:basedOn w:val="Normal"/>
    <w:uiPriority w:val="34"/>
    <w:qFormat/>
    <w:rsid w:val="00A61D74"/>
    <w:pPr>
      <w:ind w:left="720"/>
      <w:contextualSpacing/>
    </w:pPr>
  </w:style>
  <w:style w:type="character" w:styleId="Hyperlink">
    <w:name w:val="Hyperlink"/>
    <w:basedOn w:val="DefaultParagraphFont"/>
    <w:uiPriority w:val="99"/>
    <w:unhideWhenUsed/>
    <w:rsid w:val="00621893"/>
    <w:rPr>
      <w:color w:val="0000FF" w:themeColor="hyperlink"/>
      <w:u w:val="single"/>
    </w:rPr>
  </w:style>
  <w:style w:type="paragraph" w:styleId="FootnoteText">
    <w:name w:val="footnote text"/>
    <w:basedOn w:val="Normal"/>
    <w:link w:val="FootnoteTextChar"/>
    <w:uiPriority w:val="99"/>
    <w:unhideWhenUsed/>
    <w:rsid w:val="00887DE2"/>
    <w:pPr>
      <w:spacing w:after="0" w:line="240" w:lineRule="auto"/>
    </w:pPr>
    <w:rPr>
      <w:sz w:val="20"/>
      <w:szCs w:val="20"/>
    </w:rPr>
  </w:style>
  <w:style w:type="character" w:customStyle="1" w:styleId="FootnoteTextChar">
    <w:name w:val="Footnote Text Char"/>
    <w:basedOn w:val="DefaultParagraphFont"/>
    <w:link w:val="FootnoteText"/>
    <w:uiPriority w:val="99"/>
    <w:rsid w:val="00887DE2"/>
    <w:rPr>
      <w:sz w:val="20"/>
      <w:szCs w:val="20"/>
    </w:rPr>
  </w:style>
  <w:style w:type="character" w:styleId="FootnoteReference">
    <w:name w:val="footnote reference"/>
    <w:basedOn w:val="DefaultParagraphFont"/>
    <w:uiPriority w:val="99"/>
    <w:semiHidden/>
    <w:unhideWhenUsed/>
    <w:rsid w:val="00887DE2"/>
    <w:rPr>
      <w:vertAlign w:val="superscript"/>
    </w:rPr>
  </w:style>
  <w:style w:type="character" w:styleId="PlaceholderText">
    <w:name w:val="Placeholder Text"/>
    <w:basedOn w:val="DefaultParagraphFont"/>
    <w:uiPriority w:val="99"/>
    <w:semiHidden/>
    <w:rsid w:val="00177D59"/>
    <w:rPr>
      <w:color w:val="808080"/>
    </w:rPr>
  </w:style>
  <w:style w:type="table" w:styleId="TableGrid">
    <w:name w:val="Table Grid"/>
    <w:basedOn w:val="TableNormal"/>
    <w:uiPriority w:val="39"/>
    <w:rsid w:val="00B031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D1C63"/>
    <w:pPr>
      <w:tabs>
        <w:tab w:val="center" w:pos="4513"/>
        <w:tab w:val="right" w:pos="9026"/>
      </w:tabs>
      <w:spacing w:after="0" w:line="240" w:lineRule="auto"/>
    </w:pPr>
  </w:style>
  <w:style w:type="character" w:customStyle="1" w:styleId="HeaderChar">
    <w:name w:val="Header Char"/>
    <w:basedOn w:val="DefaultParagraphFont"/>
    <w:link w:val="Header"/>
    <w:uiPriority w:val="99"/>
    <w:rsid w:val="00FD1C63"/>
  </w:style>
  <w:style w:type="paragraph" w:styleId="Footer">
    <w:name w:val="footer"/>
    <w:basedOn w:val="Normal"/>
    <w:link w:val="FooterChar"/>
    <w:uiPriority w:val="99"/>
    <w:unhideWhenUsed/>
    <w:rsid w:val="00FD1C63"/>
    <w:pPr>
      <w:tabs>
        <w:tab w:val="center" w:pos="4513"/>
        <w:tab w:val="right" w:pos="9026"/>
      </w:tabs>
      <w:spacing w:after="0" w:line="240" w:lineRule="auto"/>
    </w:pPr>
  </w:style>
  <w:style w:type="character" w:customStyle="1" w:styleId="FooterChar">
    <w:name w:val="Footer Char"/>
    <w:basedOn w:val="DefaultParagraphFont"/>
    <w:link w:val="Footer"/>
    <w:uiPriority w:val="99"/>
    <w:rsid w:val="00FD1C63"/>
  </w:style>
  <w:style w:type="character" w:styleId="FollowedHyperlink">
    <w:name w:val="FollowedHyperlink"/>
    <w:basedOn w:val="DefaultParagraphFont"/>
    <w:uiPriority w:val="99"/>
    <w:semiHidden/>
    <w:unhideWhenUsed/>
    <w:rsid w:val="009957B8"/>
    <w:rPr>
      <w:color w:val="800080" w:themeColor="followedHyperlink"/>
      <w:u w:val="single"/>
    </w:rPr>
  </w:style>
  <w:style w:type="paragraph" w:customStyle="1" w:styleId="Default">
    <w:name w:val="Default"/>
    <w:rsid w:val="00681F7C"/>
    <w:pPr>
      <w:autoSpaceDE w:val="0"/>
      <w:autoSpaceDN w:val="0"/>
      <w:adjustRightInd w:val="0"/>
      <w:spacing w:after="0" w:line="240" w:lineRule="auto"/>
    </w:pPr>
    <w:rPr>
      <w:rFonts w:ascii="Times New Roman" w:hAnsi="Times New Roman" w:cs="Times New Roman"/>
      <w:color w:val="000000"/>
      <w:sz w:val="24"/>
      <w:szCs w:val="24"/>
      <w:lang w:val="en-US"/>
    </w:rPr>
  </w:style>
  <w:style w:type="character" w:customStyle="1" w:styleId="UnresolvedMention1">
    <w:name w:val="Unresolved Mention1"/>
    <w:basedOn w:val="DefaultParagraphFont"/>
    <w:uiPriority w:val="99"/>
    <w:semiHidden/>
    <w:unhideWhenUsed/>
    <w:rsid w:val="00681F7C"/>
    <w:rPr>
      <w:color w:val="808080"/>
      <w:shd w:val="clear" w:color="auto" w:fill="E6E6E6"/>
    </w:rPr>
  </w:style>
  <w:style w:type="character" w:customStyle="1" w:styleId="UnresolvedMention2">
    <w:name w:val="Unresolved Mention2"/>
    <w:basedOn w:val="DefaultParagraphFont"/>
    <w:uiPriority w:val="99"/>
    <w:semiHidden/>
    <w:unhideWhenUsed/>
    <w:rsid w:val="003847EB"/>
    <w:rPr>
      <w:color w:val="808080"/>
      <w:shd w:val="clear" w:color="auto" w:fill="E6E6E6"/>
    </w:rPr>
  </w:style>
  <w:style w:type="character" w:customStyle="1" w:styleId="Heading2Char">
    <w:name w:val="Heading 2 Char"/>
    <w:basedOn w:val="DefaultParagraphFont"/>
    <w:link w:val="Heading2"/>
    <w:uiPriority w:val="9"/>
    <w:rsid w:val="00660978"/>
    <w:rPr>
      <w:rFonts w:asciiTheme="majorHAnsi" w:eastAsiaTheme="majorEastAsia" w:hAnsiTheme="majorHAnsi" w:cstheme="majorBidi"/>
      <w:color w:val="365F91" w:themeColor="accent1" w:themeShade="BF"/>
      <w:sz w:val="26"/>
      <w:szCs w:val="26"/>
      <w:lang w:val="en-US" w:eastAsia="en-US"/>
    </w:rPr>
  </w:style>
  <w:style w:type="character" w:customStyle="1" w:styleId="Heading3Char">
    <w:name w:val="Heading 3 Char"/>
    <w:basedOn w:val="DefaultParagraphFont"/>
    <w:link w:val="Heading3"/>
    <w:uiPriority w:val="9"/>
    <w:rsid w:val="00660978"/>
    <w:rPr>
      <w:rFonts w:asciiTheme="majorHAnsi" w:eastAsiaTheme="majorEastAsia" w:hAnsiTheme="majorHAnsi" w:cstheme="majorBidi"/>
      <w:color w:val="243F60" w:themeColor="accent1" w:themeShade="7F"/>
      <w:sz w:val="24"/>
      <w:szCs w:val="24"/>
      <w:lang w:val="en-US" w:eastAsia="en-US"/>
    </w:rPr>
  </w:style>
  <w:style w:type="character" w:customStyle="1" w:styleId="UnresolvedMention3">
    <w:name w:val="Unresolved Mention3"/>
    <w:basedOn w:val="DefaultParagraphFont"/>
    <w:uiPriority w:val="99"/>
    <w:semiHidden/>
    <w:unhideWhenUsed/>
    <w:rsid w:val="008E0F19"/>
    <w:rPr>
      <w:color w:val="808080"/>
      <w:shd w:val="clear" w:color="auto" w:fill="E6E6E6"/>
    </w:rPr>
  </w:style>
  <w:style w:type="paragraph" w:styleId="Bibliography">
    <w:name w:val="Bibliography"/>
    <w:basedOn w:val="Normal"/>
    <w:next w:val="Normal"/>
    <w:uiPriority w:val="37"/>
    <w:unhideWhenUsed/>
    <w:rsid w:val="008E0F19"/>
    <w:pPr>
      <w:spacing w:after="160" w:line="259" w:lineRule="auto"/>
    </w:pPr>
    <w:rPr>
      <w:rFonts w:eastAsiaTheme="minorHAnsi"/>
      <w:lang w:val="en-US" w:eastAsia="en-US"/>
    </w:rPr>
  </w:style>
  <w:style w:type="character" w:customStyle="1" w:styleId="UnresolvedMention4">
    <w:name w:val="Unresolved Mention4"/>
    <w:basedOn w:val="DefaultParagraphFont"/>
    <w:uiPriority w:val="99"/>
    <w:semiHidden/>
    <w:unhideWhenUsed/>
    <w:rsid w:val="00DB6143"/>
    <w:rPr>
      <w:color w:val="808080"/>
      <w:shd w:val="clear" w:color="auto" w:fill="E6E6E6"/>
    </w:rPr>
  </w:style>
  <w:style w:type="table" w:customStyle="1" w:styleId="TableGrid4">
    <w:name w:val="Table Grid4"/>
    <w:basedOn w:val="TableNormal"/>
    <w:next w:val="TableGrid"/>
    <w:uiPriority w:val="59"/>
    <w:rsid w:val="00CE001D"/>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1E73E2"/>
    <w:pPr>
      <w:spacing w:after="160" w:line="240" w:lineRule="auto"/>
    </w:pPr>
    <w:rPr>
      <w:b/>
      <w:bCs/>
      <w:smallCaps/>
      <w:color w:val="1F497D" w:themeColor="text2"/>
      <w:lang w:val="en-US" w:eastAsia="ja-JP"/>
    </w:rPr>
  </w:style>
  <w:style w:type="paragraph" w:styleId="TOCHeading">
    <w:name w:val="TOC Heading"/>
    <w:basedOn w:val="Heading1"/>
    <w:next w:val="Normal"/>
    <w:uiPriority w:val="39"/>
    <w:unhideWhenUsed/>
    <w:qFormat/>
    <w:rsid w:val="001E73E2"/>
    <w:pPr>
      <w:spacing w:before="240" w:line="259" w:lineRule="auto"/>
      <w:jc w:val="left"/>
      <w:outlineLvl w:val="9"/>
    </w:pPr>
    <w:rPr>
      <w:b w:val="0"/>
      <w:bCs w:val="0"/>
      <w:sz w:val="32"/>
      <w:szCs w:val="32"/>
      <w:lang w:val="en-US"/>
    </w:rPr>
  </w:style>
  <w:style w:type="paragraph" w:styleId="TOC1">
    <w:name w:val="toc 1"/>
    <w:basedOn w:val="Normal"/>
    <w:next w:val="Normal"/>
    <w:autoRedefine/>
    <w:uiPriority w:val="39"/>
    <w:unhideWhenUsed/>
    <w:rsid w:val="001E73E2"/>
    <w:pPr>
      <w:spacing w:after="100" w:line="259" w:lineRule="auto"/>
    </w:pPr>
    <w:rPr>
      <w:rFonts w:eastAsiaTheme="minorHAnsi"/>
      <w:lang w:val="en-US" w:eastAsia="en-US"/>
    </w:rPr>
  </w:style>
  <w:style w:type="paragraph" w:styleId="TOC2">
    <w:name w:val="toc 2"/>
    <w:basedOn w:val="Normal"/>
    <w:next w:val="Normal"/>
    <w:autoRedefine/>
    <w:uiPriority w:val="39"/>
    <w:unhideWhenUsed/>
    <w:rsid w:val="001E73E2"/>
    <w:pPr>
      <w:spacing w:after="100" w:line="259" w:lineRule="auto"/>
      <w:ind w:left="220"/>
    </w:pPr>
    <w:rPr>
      <w:rFonts w:eastAsiaTheme="minorHAnsi"/>
      <w:lang w:val="en-US" w:eastAsia="en-US"/>
    </w:rPr>
  </w:style>
  <w:style w:type="paragraph" w:styleId="TOC3">
    <w:name w:val="toc 3"/>
    <w:basedOn w:val="Normal"/>
    <w:next w:val="Normal"/>
    <w:autoRedefine/>
    <w:uiPriority w:val="39"/>
    <w:unhideWhenUsed/>
    <w:rsid w:val="001E73E2"/>
    <w:pPr>
      <w:spacing w:after="100" w:line="259" w:lineRule="auto"/>
      <w:ind w:left="440"/>
    </w:pPr>
    <w:rPr>
      <w:rFonts w:eastAsiaTheme="minorHAnsi"/>
      <w:lang w:val="en-US" w:eastAsia="en-US"/>
    </w:rPr>
  </w:style>
  <w:style w:type="paragraph" w:styleId="TableofFigures">
    <w:name w:val="table of figures"/>
    <w:basedOn w:val="Normal"/>
    <w:next w:val="Normal"/>
    <w:uiPriority w:val="99"/>
    <w:unhideWhenUsed/>
    <w:rsid w:val="001E73E2"/>
    <w:pPr>
      <w:spacing w:after="0" w:line="259" w:lineRule="auto"/>
    </w:pPr>
    <w:rPr>
      <w:rFonts w:eastAsiaTheme="minorHAnsi"/>
      <w:lang w:val="en-US" w:eastAsia="en-US"/>
    </w:rPr>
  </w:style>
  <w:style w:type="paragraph" w:styleId="ListNumber">
    <w:name w:val="List Number"/>
    <w:basedOn w:val="Normal"/>
    <w:uiPriority w:val="99"/>
    <w:unhideWhenUsed/>
    <w:rsid w:val="001E73E2"/>
    <w:pPr>
      <w:numPr>
        <w:numId w:val="37"/>
      </w:numPr>
      <w:spacing w:after="160" w:line="259" w:lineRule="auto"/>
      <w:contextualSpacing/>
    </w:pPr>
    <w:rPr>
      <w:rFonts w:eastAsiaTheme="minorHAnsi"/>
      <w:lang w:val="en-US" w:eastAsia="en-US"/>
    </w:rPr>
  </w:style>
  <w:style w:type="character" w:styleId="Emphasis">
    <w:name w:val="Emphasis"/>
    <w:basedOn w:val="DefaultParagraphFont"/>
    <w:uiPriority w:val="20"/>
    <w:qFormat/>
    <w:rsid w:val="001E73E2"/>
    <w:rPr>
      <w:b/>
      <w:bCs/>
      <w:i w:val="0"/>
      <w:iCs w:val="0"/>
    </w:rPr>
  </w:style>
  <w:style w:type="character" w:customStyle="1" w:styleId="st1">
    <w:name w:val="st1"/>
    <w:basedOn w:val="DefaultParagraphFont"/>
    <w:rsid w:val="001E73E2"/>
  </w:style>
  <w:style w:type="paragraph" w:styleId="Revision">
    <w:name w:val="Revision"/>
    <w:hidden/>
    <w:uiPriority w:val="99"/>
    <w:semiHidden/>
    <w:rsid w:val="001E73E2"/>
    <w:pPr>
      <w:spacing w:after="0" w:line="240" w:lineRule="auto"/>
    </w:pPr>
    <w:rPr>
      <w:rFonts w:eastAsiaTheme="minorHAnsi"/>
      <w:lang w:val="en-US" w:eastAsia="en-US"/>
    </w:rPr>
  </w:style>
  <w:style w:type="paragraph" w:styleId="NormalWeb">
    <w:name w:val="Normal (Web)"/>
    <w:basedOn w:val="Normal"/>
    <w:uiPriority w:val="99"/>
    <w:unhideWhenUsed/>
    <w:rsid w:val="00743774"/>
    <w:pPr>
      <w:spacing w:before="100" w:beforeAutospacing="1" w:after="100" w:afterAutospacing="1"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271820">
      <w:bodyDiv w:val="1"/>
      <w:marLeft w:val="0"/>
      <w:marRight w:val="0"/>
      <w:marTop w:val="0"/>
      <w:marBottom w:val="0"/>
      <w:divBdr>
        <w:top w:val="none" w:sz="0" w:space="0" w:color="auto"/>
        <w:left w:val="none" w:sz="0" w:space="0" w:color="auto"/>
        <w:bottom w:val="none" w:sz="0" w:space="0" w:color="auto"/>
        <w:right w:val="none" w:sz="0" w:space="0" w:color="auto"/>
      </w:divBdr>
    </w:div>
    <w:div w:id="235215183">
      <w:bodyDiv w:val="1"/>
      <w:marLeft w:val="0"/>
      <w:marRight w:val="0"/>
      <w:marTop w:val="0"/>
      <w:marBottom w:val="0"/>
      <w:divBdr>
        <w:top w:val="none" w:sz="0" w:space="0" w:color="auto"/>
        <w:left w:val="none" w:sz="0" w:space="0" w:color="auto"/>
        <w:bottom w:val="none" w:sz="0" w:space="0" w:color="auto"/>
        <w:right w:val="none" w:sz="0" w:space="0" w:color="auto"/>
      </w:divBdr>
    </w:div>
    <w:div w:id="259989614">
      <w:bodyDiv w:val="1"/>
      <w:marLeft w:val="0"/>
      <w:marRight w:val="0"/>
      <w:marTop w:val="0"/>
      <w:marBottom w:val="0"/>
      <w:divBdr>
        <w:top w:val="none" w:sz="0" w:space="0" w:color="auto"/>
        <w:left w:val="none" w:sz="0" w:space="0" w:color="auto"/>
        <w:bottom w:val="none" w:sz="0" w:space="0" w:color="auto"/>
        <w:right w:val="none" w:sz="0" w:space="0" w:color="auto"/>
      </w:divBdr>
    </w:div>
    <w:div w:id="305398692">
      <w:bodyDiv w:val="1"/>
      <w:marLeft w:val="0"/>
      <w:marRight w:val="0"/>
      <w:marTop w:val="0"/>
      <w:marBottom w:val="0"/>
      <w:divBdr>
        <w:top w:val="none" w:sz="0" w:space="0" w:color="auto"/>
        <w:left w:val="none" w:sz="0" w:space="0" w:color="auto"/>
        <w:bottom w:val="none" w:sz="0" w:space="0" w:color="auto"/>
        <w:right w:val="none" w:sz="0" w:space="0" w:color="auto"/>
      </w:divBdr>
    </w:div>
    <w:div w:id="406805626">
      <w:bodyDiv w:val="1"/>
      <w:marLeft w:val="0"/>
      <w:marRight w:val="0"/>
      <w:marTop w:val="0"/>
      <w:marBottom w:val="0"/>
      <w:divBdr>
        <w:top w:val="none" w:sz="0" w:space="0" w:color="auto"/>
        <w:left w:val="none" w:sz="0" w:space="0" w:color="auto"/>
        <w:bottom w:val="none" w:sz="0" w:space="0" w:color="auto"/>
        <w:right w:val="none" w:sz="0" w:space="0" w:color="auto"/>
      </w:divBdr>
    </w:div>
    <w:div w:id="536508930">
      <w:bodyDiv w:val="1"/>
      <w:marLeft w:val="0"/>
      <w:marRight w:val="0"/>
      <w:marTop w:val="0"/>
      <w:marBottom w:val="0"/>
      <w:divBdr>
        <w:top w:val="none" w:sz="0" w:space="0" w:color="auto"/>
        <w:left w:val="none" w:sz="0" w:space="0" w:color="auto"/>
        <w:bottom w:val="none" w:sz="0" w:space="0" w:color="auto"/>
        <w:right w:val="none" w:sz="0" w:space="0" w:color="auto"/>
      </w:divBdr>
    </w:div>
    <w:div w:id="790511128">
      <w:bodyDiv w:val="1"/>
      <w:marLeft w:val="0"/>
      <w:marRight w:val="0"/>
      <w:marTop w:val="0"/>
      <w:marBottom w:val="0"/>
      <w:divBdr>
        <w:top w:val="none" w:sz="0" w:space="0" w:color="auto"/>
        <w:left w:val="none" w:sz="0" w:space="0" w:color="auto"/>
        <w:bottom w:val="none" w:sz="0" w:space="0" w:color="auto"/>
        <w:right w:val="none" w:sz="0" w:space="0" w:color="auto"/>
      </w:divBdr>
    </w:div>
    <w:div w:id="1035035103">
      <w:bodyDiv w:val="1"/>
      <w:marLeft w:val="0"/>
      <w:marRight w:val="0"/>
      <w:marTop w:val="0"/>
      <w:marBottom w:val="0"/>
      <w:divBdr>
        <w:top w:val="none" w:sz="0" w:space="0" w:color="auto"/>
        <w:left w:val="none" w:sz="0" w:space="0" w:color="auto"/>
        <w:bottom w:val="none" w:sz="0" w:space="0" w:color="auto"/>
        <w:right w:val="none" w:sz="0" w:space="0" w:color="auto"/>
      </w:divBdr>
    </w:div>
    <w:div w:id="1043477580">
      <w:bodyDiv w:val="1"/>
      <w:marLeft w:val="0"/>
      <w:marRight w:val="0"/>
      <w:marTop w:val="0"/>
      <w:marBottom w:val="0"/>
      <w:divBdr>
        <w:top w:val="none" w:sz="0" w:space="0" w:color="auto"/>
        <w:left w:val="none" w:sz="0" w:space="0" w:color="auto"/>
        <w:bottom w:val="none" w:sz="0" w:space="0" w:color="auto"/>
        <w:right w:val="none" w:sz="0" w:space="0" w:color="auto"/>
      </w:divBdr>
    </w:div>
    <w:div w:id="1357389277">
      <w:bodyDiv w:val="1"/>
      <w:marLeft w:val="0"/>
      <w:marRight w:val="0"/>
      <w:marTop w:val="0"/>
      <w:marBottom w:val="0"/>
      <w:divBdr>
        <w:top w:val="none" w:sz="0" w:space="0" w:color="auto"/>
        <w:left w:val="none" w:sz="0" w:space="0" w:color="auto"/>
        <w:bottom w:val="none" w:sz="0" w:space="0" w:color="auto"/>
        <w:right w:val="none" w:sz="0" w:space="0" w:color="auto"/>
      </w:divBdr>
    </w:div>
    <w:div w:id="1425492163">
      <w:bodyDiv w:val="1"/>
      <w:marLeft w:val="0"/>
      <w:marRight w:val="0"/>
      <w:marTop w:val="0"/>
      <w:marBottom w:val="0"/>
      <w:divBdr>
        <w:top w:val="none" w:sz="0" w:space="0" w:color="auto"/>
        <w:left w:val="none" w:sz="0" w:space="0" w:color="auto"/>
        <w:bottom w:val="none" w:sz="0" w:space="0" w:color="auto"/>
        <w:right w:val="none" w:sz="0" w:space="0" w:color="auto"/>
      </w:divBdr>
    </w:div>
    <w:div w:id="1729377518">
      <w:bodyDiv w:val="1"/>
      <w:marLeft w:val="0"/>
      <w:marRight w:val="0"/>
      <w:marTop w:val="0"/>
      <w:marBottom w:val="0"/>
      <w:divBdr>
        <w:top w:val="none" w:sz="0" w:space="0" w:color="auto"/>
        <w:left w:val="none" w:sz="0" w:space="0" w:color="auto"/>
        <w:bottom w:val="none" w:sz="0" w:space="0" w:color="auto"/>
        <w:right w:val="none" w:sz="0" w:space="0" w:color="auto"/>
      </w:divBdr>
    </w:div>
    <w:div w:id="1944143606">
      <w:bodyDiv w:val="1"/>
      <w:marLeft w:val="0"/>
      <w:marRight w:val="0"/>
      <w:marTop w:val="0"/>
      <w:marBottom w:val="0"/>
      <w:divBdr>
        <w:top w:val="none" w:sz="0" w:space="0" w:color="auto"/>
        <w:left w:val="none" w:sz="0" w:space="0" w:color="auto"/>
        <w:bottom w:val="none" w:sz="0" w:space="0" w:color="auto"/>
        <w:right w:val="none" w:sz="0" w:space="0" w:color="auto"/>
      </w:divBdr>
    </w:div>
    <w:div w:id="1991405382">
      <w:bodyDiv w:val="1"/>
      <w:marLeft w:val="0"/>
      <w:marRight w:val="0"/>
      <w:marTop w:val="0"/>
      <w:marBottom w:val="0"/>
      <w:divBdr>
        <w:top w:val="none" w:sz="0" w:space="0" w:color="auto"/>
        <w:left w:val="none" w:sz="0" w:space="0" w:color="auto"/>
        <w:bottom w:val="none" w:sz="0" w:space="0" w:color="auto"/>
        <w:right w:val="none" w:sz="0" w:space="0" w:color="auto"/>
      </w:divBdr>
    </w:div>
    <w:div w:id="2032877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smas@who.int" TargetMode="External"/><Relationship Id="rId13" Type="http://schemas.openxmlformats.org/officeDocument/2006/relationships/hyperlink" Target="http://www.who.int/healthinfo/universal_health_coverage/report/2014/en/" TargetMode="External"/><Relationship Id="rId18" Type="http://schemas.openxmlformats.org/officeDocument/2006/relationships/hyperlink" Target="http://www.who.int/health_financing/policy-framework/auc-who-2014-doc1-en.pdf?ua=1"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www.thelancet.com/pdfs/journals/langlo/PIIS2214-109X(17)30472-2.pdf" TargetMode="Externa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http://apps.who.int/iris/bitstream/handle/10665/259951/WHO-HIS-IER-GPM-2018.1-eng.pdf;jsessionid=2D63E41A028E0E54F70AC8FFA0CB7DA2?sequence=1" TargetMode="External"/><Relationship Id="rId25" Type="http://schemas.openxmlformats.org/officeDocument/2006/relationships/hyperlink" Target="https://www.ncbi.nlm.nih.gov/books/NBK11742/" TargetMode="External"/><Relationship Id="rId2" Type="http://schemas.openxmlformats.org/officeDocument/2006/relationships/numbering" Target="numbering.xml"/><Relationship Id="rId16" Type="http://schemas.openxmlformats.org/officeDocument/2006/relationships/hyperlink" Target="http://www.who.int/healthinfo/universal_health_coverage/report/2015/en/" TargetMode="External"/><Relationship Id="rId20" Type="http://schemas.openxmlformats.org/officeDocument/2006/relationships/hyperlink" Target="http://www.who.int/health_financing/policy-framework/paho-resolution-CD53-R14-e.pdf"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uhc_stats@who.int" TargetMode="External"/><Relationship Id="rId24" Type="http://schemas.openxmlformats.org/officeDocument/2006/relationships/hyperlink" Target="https://www.who.int/hepatitis/reporting-database/en/" TargetMode="External"/><Relationship Id="rId5" Type="http://schemas.openxmlformats.org/officeDocument/2006/relationships/webSettings" Target="webSettings.xml"/><Relationship Id="rId15" Type="http://schemas.openxmlformats.org/officeDocument/2006/relationships/hyperlink" Target="http://www.who.int/healthinfo/universal_health_coverage/report/2017/en/"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hyperlink" Target="mailto:hossainr@who.int" TargetMode="External"/><Relationship Id="rId19" Type="http://schemas.openxmlformats.org/officeDocument/2006/relationships/hyperlink" Target="http://www.searo.who.int/entity/health_situation_trends/sear_strategy_for_uhc1.pdf?ua=1" TargetMode="External"/><Relationship Id="rId4" Type="http://schemas.openxmlformats.org/officeDocument/2006/relationships/settings" Target="settings.xml"/><Relationship Id="rId9" Type="http://schemas.openxmlformats.org/officeDocument/2006/relationships/hyperlink" Target="mailto:chatterjis@who.int" TargetMode="External"/><Relationship Id="rId14" Type="http://schemas.openxmlformats.org/officeDocument/2006/relationships/hyperlink" Target="http://www.un.org/ga/search/view_doc.asp?symbol=A/RES/70/1&amp;Lang=E" TargetMode="External"/><Relationship Id="rId22" Type="http://schemas.openxmlformats.org/officeDocument/2006/relationships/hyperlink" Target="http://www.who.int/healthinfo/universal_health_coverage/UHC_WHS2016_TechnicalNote_May2016.pdf?ua=1" TargetMode="External"/><Relationship Id="rId27" Type="http://schemas.openxmlformats.org/officeDocument/2006/relationships/footer" Target="footer3.xml"/></Relationships>
</file>

<file path=word/_rels/footnotes.xml.rels><?xml version="1.0" encoding="UTF-8" standalone="yes"?>
<Relationships xmlns="http://schemas.openxmlformats.org/package/2006/relationships"><Relationship Id="rId2" Type="http://schemas.openxmlformats.org/officeDocument/2006/relationships/hyperlink" Target="http://gather-statement.org/" TargetMode="External"/><Relationship Id="rId1" Type="http://schemas.openxmlformats.org/officeDocument/2006/relationships/hyperlink" Target="https://unstats.un.org/unsd/dnss/gp/FP-New-E.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EFC195-DC0F-42EE-8BC0-AA0CD0A537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64</Pages>
  <Words>16603</Words>
  <Characters>94640</Characters>
  <Application>Microsoft Office Word</Application>
  <DocSecurity>4</DocSecurity>
  <Lines>788</Lines>
  <Paragraphs>222</Paragraphs>
  <ScaleCrop>false</ScaleCrop>
  <HeadingPairs>
    <vt:vector size="2" baseType="variant">
      <vt:variant>
        <vt:lpstr>Title</vt:lpstr>
      </vt:variant>
      <vt:variant>
        <vt:i4>1</vt:i4>
      </vt:variant>
    </vt:vector>
  </HeadingPairs>
  <TitlesOfParts>
    <vt:vector size="1" baseType="lpstr">
      <vt:lpstr/>
    </vt:vector>
  </TitlesOfParts>
  <Company>United Nations</Company>
  <LinksUpToDate>false</LinksUpToDate>
  <CharactersWithSpaces>111021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ASMA, Samira</dc:creator>
  <cp:lastModifiedBy>ASMA, Samira</cp:lastModifiedBy>
  <cp:revision>2</cp:revision>
  <cp:lastPrinted>2018-11-14T14:05:00Z</cp:lastPrinted>
  <dcterms:created xsi:type="dcterms:W3CDTF">2018-12-12T22:10:00Z</dcterms:created>
  <dcterms:modified xsi:type="dcterms:W3CDTF">2018-12-12T22:10:00Z</dcterms:modified>
</cp:coreProperties>
</file>